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黑体" w:hAnsi="黑体" w:eastAsia="黑体" w:cs="宋体"/>
          <w:b/>
          <w:caps/>
          <w:kern w:val="0"/>
          <w:sz w:val="27"/>
          <w:szCs w:val="27"/>
          <w:lang w:val="zh-CN" w:bidi="zh-CN"/>
        </w:rPr>
      </w:pPr>
      <w:r>
        <w:rPr>
          <w:rFonts w:hint="eastAsia" w:ascii="黑体" w:hAnsi="黑体" w:eastAsia="黑体" w:cs="宋体"/>
          <w:b/>
          <w:caps/>
          <w:kern w:val="0"/>
          <w:sz w:val="27"/>
          <w:szCs w:val="27"/>
          <w:lang w:val="zh-CN" w:bidi="zh-CN"/>
        </w:rPr>
        <w:t>《南江县乡镇级片区城乡消防专项规划（202</w:t>
      </w:r>
      <w:r>
        <w:rPr>
          <w:rFonts w:hint="eastAsia" w:ascii="黑体" w:hAnsi="黑体" w:eastAsia="黑体" w:cs="宋体"/>
          <w:b/>
          <w:caps/>
          <w:kern w:val="0"/>
          <w:sz w:val="27"/>
          <w:szCs w:val="27"/>
          <w:lang w:bidi="zh-CN"/>
        </w:rPr>
        <w:t>0</w:t>
      </w:r>
      <w:r>
        <w:rPr>
          <w:rFonts w:hint="eastAsia" w:ascii="黑体" w:hAnsi="黑体" w:eastAsia="黑体" w:cs="宋体"/>
          <w:b/>
          <w:caps/>
          <w:kern w:val="0"/>
          <w:sz w:val="27"/>
          <w:szCs w:val="27"/>
          <w:lang w:val="zh-CN" w:bidi="zh-CN"/>
        </w:rPr>
        <w:t>-2035年）》</w:t>
      </w:r>
    </w:p>
    <w:p>
      <w:pPr>
        <w:spacing w:line="360" w:lineRule="auto"/>
        <w:jc w:val="center"/>
        <w:rPr>
          <w:rFonts w:ascii="仿宋" w:hAnsi="仿宋" w:eastAsia="仿宋"/>
          <w:sz w:val="27"/>
          <w:szCs w:val="27"/>
          <w:lang w:bidi="zh-CN"/>
        </w:rPr>
      </w:pPr>
      <w:bookmarkStart w:id="0" w:name="_GoBack"/>
      <w:bookmarkEnd w:id="0"/>
      <w:r>
        <w:rPr>
          <w:rFonts w:hint="eastAsia" w:ascii="黑体" w:hAnsi="黑体" w:eastAsia="黑体" w:cs="宋体"/>
          <w:b/>
          <w:caps/>
          <w:kern w:val="0"/>
          <w:sz w:val="27"/>
          <w:szCs w:val="27"/>
          <w:lang w:val="zh-CN" w:bidi="zh-CN"/>
        </w:rPr>
        <w:t>（初步成果）</w:t>
      </w:r>
    </w:p>
    <w:p>
      <w:pPr>
        <w:pStyle w:val="19"/>
        <w:numPr>
          <w:ilvl w:val="0"/>
          <w:numId w:val="2"/>
        </w:numPr>
        <w:ind w:firstLineChars="0"/>
        <w:rPr>
          <w:rFonts w:ascii="黑体" w:hAnsi="黑体" w:eastAsia="黑体"/>
          <w:sz w:val="28"/>
          <w:szCs w:val="36"/>
        </w:rPr>
      </w:pPr>
      <w:r>
        <w:rPr>
          <w:rFonts w:hint="eastAsia" w:ascii="黑体" w:hAnsi="黑体" w:eastAsia="黑体"/>
          <w:sz w:val="28"/>
          <w:szCs w:val="36"/>
        </w:rPr>
        <w:t>总则</w:t>
      </w:r>
    </w:p>
    <w:p>
      <w:pPr>
        <w:spacing w:line="360" w:lineRule="auto"/>
        <w:ind w:firstLine="420" w:firstLineChars="200"/>
        <w:rPr>
          <w:rFonts w:ascii="仿宋" w:hAnsi="仿宋" w:eastAsia="仿宋"/>
          <w:lang w:bidi="zh-CN"/>
        </w:rPr>
      </w:pPr>
      <w:r>
        <w:rPr>
          <w:rFonts w:hint="eastAsia" w:ascii="仿宋" w:hAnsi="仿宋" w:eastAsia="仿宋"/>
          <w:lang w:bidi="zh-CN"/>
        </w:rPr>
        <w:t>为深入贯彻省委关于乡镇行政区划和村级建制调整改革“后半篇”文章的决策部署，强化规划对乡村地区高质量发展的引领作用，构建完善的乡镇消防安全体系，创造良好的消防安全环境，提高镇村预防和抵御火灾的整体能力，提高消防队伍紧急处置各种灾害事故、抢险救援的综合能力，最大限度地保障人民生命、财产安全，减少火灾及其它灾害事故的损失，指导镇村消防建设协调有序发展，进一步提升南江县基层消防应急能力，以适应南江县各镇村消防安全保障的需要，开展本次南江县乡镇级片区城乡消防专项规划编制工作。</w:t>
      </w:r>
    </w:p>
    <w:p>
      <w:pPr>
        <w:spacing w:line="360" w:lineRule="auto"/>
        <w:ind w:firstLine="420" w:firstLineChars="200"/>
        <w:rPr>
          <w:rFonts w:ascii="仿宋" w:hAnsi="仿宋" w:eastAsia="仿宋"/>
          <w:lang w:bidi="zh-CN"/>
        </w:rPr>
      </w:pPr>
      <w:r>
        <w:rPr>
          <w:rFonts w:hint="eastAsia" w:ascii="仿宋" w:hAnsi="仿宋" w:eastAsia="仿宋"/>
          <w:lang w:bidi="zh-CN"/>
        </w:rPr>
        <w:t>规划范围与南江县乡镇级片区国土空间总体规划范围保持一致，本次分为片区消防规划和乡镇消防规划两个层次。</w:t>
      </w:r>
    </w:p>
    <w:p>
      <w:pPr>
        <w:spacing w:line="360" w:lineRule="auto"/>
        <w:ind w:firstLine="420" w:firstLineChars="200"/>
        <w:rPr>
          <w:rFonts w:ascii="仿宋" w:hAnsi="仿宋" w:eastAsia="仿宋"/>
          <w:lang w:bidi="zh-CN"/>
        </w:rPr>
      </w:pPr>
      <w:r>
        <w:rPr>
          <w:rFonts w:hint="eastAsia" w:ascii="仿宋" w:hAnsi="仿宋" w:eastAsia="仿宋"/>
          <w:lang w:bidi="zh-CN"/>
        </w:rPr>
        <w:t>片区包含云顶茶旅融合发展片区、长赤优质粮油发展片区、集州生态工业及现代服务业发展片区、大河种养循环发展片区、沙河农旅融合发展片区、光雾山诺水河文旅融合发展示范片区(南江片区)6个片区。</w:t>
      </w:r>
    </w:p>
    <w:p>
      <w:pPr>
        <w:spacing w:line="360" w:lineRule="auto"/>
        <w:ind w:firstLine="420" w:firstLineChars="200"/>
        <w:rPr>
          <w:rFonts w:ascii="仿宋" w:hAnsi="仿宋" w:eastAsia="仿宋"/>
          <w:lang w:bidi="zh-CN"/>
        </w:rPr>
      </w:pPr>
      <w:r>
        <w:rPr>
          <w:rFonts w:hint="eastAsia" w:ascii="仿宋" w:hAnsi="仿宋" w:eastAsia="仿宋"/>
          <w:lang w:bidi="zh-CN"/>
        </w:rPr>
        <w:t>乡镇（街道）包含集州街道、公山镇、正直镇、下两镇、和平镇、双流镇、元潭镇、云顶镇、侯家镇、天池镇、长赤镇、红光镇、坪河镇、杨坝镇、桥亭镇、赶场镇、关路镇、关门镇、兴马镇、大河镇、石滩镇、高桥镇、仁和镇、沙河镇、团结乡、八庙镇、高塔镇、赤溪镇、关坝镇、贵民镇、神门乡、光雾山镇等32个乡镇（街道）。</w:t>
      </w:r>
    </w:p>
    <w:p>
      <w:pPr>
        <w:pStyle w:val="19"/>
        <w:numPr>
          <w:ilvl w:val="0"/>
          <w:numId w:val="2"/>
        </w:numPr>
        <w:ind w:firstLineChars="0"/>
        <w:rPr>
          <w:rFonts w:ascii="黑体" w:hAnsi="黑体" w:eastAsia="黑体"/>
          <w:sz w:val="28"/>
          <w:szCs w:val="36"/>
        </w:rPr>
      </w:pPr>
      <w:r>
        <w:rPr>
          <w:rFonts w:hint="eastAsia" w:ascii="黑体" w:hAnsi="黑体" w:eastAsia="黑体"/>
          <w:sz w:val="28"/>
          <w:szCs w:val="36"/>
        </w:rPr>
        <w:t>片区消防规划</w:t>
      </w:r>
    </w:p>
    <w:p>
      <w:pPr>
        <w:spacing w:line="360" w:lineRule="auto"/>
        <w:ind w:firstLine="420" w:firstLineChars="200"/>
        <w:rPr>
          <w:rFonts w:ascii="仿宋" w:hAnsi="仿宋" w:eastAsia="仿宋"/>
          <w:lang w:bidi="zh-CN"/>
        </w:rPr>
      </w:pPr>
      <w:r>
        <w:rPr>
          <w:rFonts w:hint="eastAsia" w:ascii="仿宋" w:hAnsi="仿宋" w:eastAsia="仿宋"/>
          <w:lang w:bidi="zh-CN"/>
        </w:rPr>
        <w:t>2</w:t>
      </w:r>
      <w:r>
        <w:rPr>
          <w:rFonts w:ascii="仿宋" w:hAnsi="仿宋" w:eastAsia="仿宋"/>
          <w:lang w:bidi="zh-CN"/>
        </w:rPr>
        <w:t>.1</w:t>
      </w:r>
      <w:r>
        <w:rPr>
          <w:rFonts w:hint="eastAsia" w:ascii="仿宋" w:hAnsi="仿宋" w:eastAsia="仿宋"/>
          <w:lang w:bidi="zh-CN"/>
        </w:rPr>
        <w:t>消防建设现状</w:t>
      </w:r>
    </w:p>
    <w:p>
      <w:pPr>
        <w:spacing w:line="360" w:lineRule="auto"/>
        <w:ind w:firstLine="420" w:firstLineChars="200"/>
        <w:rPr>
          <w:rFonts w:ascii="仿宋" w:hAnsi="仿宋" w:eastAsia="仿宋"/>
          <w:lang w:bidi="zh-CN"/>
        </w:rPr>
      </w:pPr>
      <w:r>
        <w:rPr>
          <w:rFonts w:hint="eastAsia" w:ascii="仿宋" w:hAnsi="仿宋" w:eastAsia="仿宋"/>
          <w:lang w:bidi="zh-CN"/>
        </w:rPr>
        <w:t>2</w:t>
      </w:r>
      <w:r>
        <w:rPr>
          <w:rFonts w:ascii="仿宋" w:hAnsi="仿宋" w:eastAsia="仿宋"/>
          <w:lang w:bidi="zh-CN"/>
        </w:rPr>
        <w:t>.1.1</w:t>
      </w:r>
      <w:r>
        <w:rPr>
          <w:rFonts w:hint="eastAsia" w:ascii="仿宋" w:hAnsi="仿宋" w:eastAsia="仿宋"/>
          <w:lang w:bidi="zh-CN"/>
        </w:rPr>
        <w:t>消防站</w:t>
      </w:r>
    </w:p>
    <w:p>
      <w:pPr>
        <w:spacing w:line="360" w:lineRule="auto"/>
        <w:ind w:firstLine="420" w:firstLineChars="200"/>
        <w:rPr>
          <w:rFonts w:ascii="仿宋" w:hAnsi="仿宋" w:eastAsia="仿宋"/>
          <w:lang w:bidi="zh-CN"/>
        </w:rPr>
      </w:pPr>
      <w:r>
        <w:rPr>
          <w:rFonts w:hint="eastAsia" w:ascii="仿宋" w:hAnsi="仿宋" w:eastAsia="仿宋"/>
          <w:lang w:bidi="zh-CN"/>
        </w:rPr>
        <w:t>片区内现有</w:t>
      </w:r>
    </w:p>
    <w:p>
      <w:pPr>
        <w:spacing w:line="360" w:lineRule="auto"/>
        <w:ind w:firstLine="420" w:firstLineChars="200"/>
        <w:rPr>
          <w:rFonts w:ascii="仿宋" w:hAnsi="仿宋" w:eastAsia="仿宋"/>
          <w:lang w:bidi="zh-CN"/>
        </w:rPr>
      </w:pPr>
      <w:r>
        <w:rPr>
          <w:rFonts w:hint="eastAsia" w:ascii="仿宋" w:hAnsi="仿宋" w:eastAsia="仿宋"/>
          <w:lang w:bidi="zh-CN"/>
        </w:rPr>
        <w:t>①云顶片区：现有依托原正直政府专职队改建的南江县应急救援中心正直中队一座，履行灭火救援职责，位于曹家坝社区法院旁，有队员10名，与南江县中心城区消防站共同保障片区消防安全。无片区中心消防站（政府专职队）。</w:t>
      </w:r>
    </w:p>
    <w:p>
      <w:pPr>
        <w:spacing w:line="360" w:lineRule="auto"/>
        <w:ind w:firstLine="420" w:firstLineChars="200"/>
        <w:rPr>
          <w:rFonts w:hint="default" w:ascii="仿宋" w:hAnsi="仿宋" w:eastAsia="仿宋"/>
          <w:lang w:val="en-US" w:bidi="zh-CN"/>
        </w:rPr>
      </w:pPr>
      <w:r>
        <w:rPr>
          <w:rFonts w:hint="eastAsia" w:ascii="仿宋" w:hAnsi="仿宋" w:eastAsia="仿宋"/>
          <w:lang w:bidi="zh-CN"/>
        </w:rPr>
        <w:t>②集州片区：现有城市一级消防站1座，其中秀水大街消防救援站城市一级普通消防站(加挂南江县政府专职队），位于南江县城红塔新区秀水大街73号。片区依托原南江县政府专职队改制的南江县应急救援中心一座，有队员20名，位于南江县光雾山大道城庙段530号，与南江县中心城区消防站共同保障片区消防安全。无片区中心消防站（政府专职队）。</w:t>
      </w:r>
    </w:p>
    <w:p>
      <w:pPr>
        <w:spacing w:line="360" w:lineRule="auto"/>
        <w:ind w:firstLine="420" w:firstLineChars="200"/>
        <w:rPr>
          <w:rFonts w:ascii="仿宋" w:hAnsi="仿宋" w:eastAsia="仿宋"/>
          <w:lang w:bidi="zh-CN"/>
        </w:rPr>
      </w:pPr>
      <w:r>
        <w:rPr>
          <w:rFonts w:hint="eastAsia" w:ascii="仿宋" w:hAnsi="仿宋" w:eastAsia="仿宋"/>
          <w:lang w:bidi="zh-CN"/>
        </w:rPr>
        <w:t>③长赤片区：现有依托原长赤政府专职队改建的南江县应急救援中心长赤中队一座，履行灭火救援职责，位于养生华庭7栋，有队员16名，与南江县中心城区消防站共同保障片区消防安全。无片区中心消防站（政府专职队）。</w:t>
      </w:r>
    </w:p>
    <w:p>
      <w:pPr>
        <w:spacing w:line="360" w:lineRule="auto"/>
        <w:ind w:firstLine="420" w:firstLineChars="200"/>
        <w:rPr>
          <w:rFonts w:ascii="仿宋" w:hAnsi="仿宋" w:eastAsia="仿宋"/>
          <w:lang w:bidi="zh-CN"/>
        </w:rPr>
      </w:pPr>
      <w:r>
        <w:rPr>
          <w:rFonts w:hint="eastAsia" w:ascii="仿宋" w:hAnsi="仿宋" w:eastAsia="仿宋"/>
          <w:lang w:bidi="zh-CN"/>
        </w:rPr>
        <w:t>④大河片区：现有南江县应急救援中心大河中队一座，履行灭火救援职责，有队员10名，与南江县中心城区消防站共同保障片区消防安全。无片区中心消防站（政府专职队）。</w:t>
      </w:r>
    </w:p>
    <w:p>
      <w:pPr>
        <w:spacing w:line="360" w:lineRule="auto"/>
        <w:ind w:firstLine="420" w:firstLineChars="200"/>
        <w:rPr>
          <w:rFonts w:ascii="仿宋" w:hAnsi="仿宋" w:eastAsia="仿宋"/>
          <w:lang w:bidi="zh-CN"/>
        </w:rPr>
      </w:pPr>
      <w:r>
        <w:rPr>
          <w:rFonts w:hint="eastAsia" w:ascii="仿宋" w:hAnsi="仿宋" w:eastAsia="仿宋"/>
          <w:lang w:bidi="zh-CN"/>
        </w:rPr>
        <w:t>⑤沙河片区：现有沙河镇（乐坝）专职消防救援站一座，位于乐坝社区旁，有专职队消防员12名，与南江县中心城区消防站共同保障片区消防安全。</w:t>
      </w:r>
    </w:p>
    <w:p>
      <w:pPr>
        <w:spacing w:line="360" w:lineRule="auto"/>
        <w:ind w:firstLine="420" w:firstLineChars="200"/>
        <w:rPr>
          <w:rFonts w:ascii="仿宋" w:hAnsi="仿宋" w:eastAsia="仿宋"/>
          <w:lang w:bidi="zh-CN"/>
        </w:rPr>
      </w:pPr>
      <w:r>
        <w:rPr>
          <w:rFonts w:hint="eastAsia" w:ascii="仿宋" w:hAnsi="仿宋" w:eastAsia="仿宋"/>
          <w:lang w:bidi="zh-CN"/>
        </w:rPr>
        <w:t>⑥光雾山片区：现有依托原光雾山政府专职队改建的南江县应急救援中心光雾山中队一座，履行灭火救援职责，位于光雾山镇桃园寺焦家河村72号，有队员10名，与南江县中心城区消防站共同保障片区消防安全。无片区中心消防站（政府专职队）。</w:t>
      </w:r>
    </w:p>
    <w:p>
      <w:pPr>
        <w:spacing w:line="360" w:lineRule="auto"/>
        <w:ind w:firstLine="420" w:firstLineChars="200"/>
        <w:rPr>
          <w:rFonts w:ascii="仿宋" w:hAnsi="仿宋" w:eastAsia="仿宋"/>
          <w:lang w:bidi="zh-CN"/>
        </w:rPr>
      </w:pPr>
      <w:r>
        <w:rPr>
          <w:rFonts w:hint="eastAsia" w:ascii="仿宋" w:hAnsi="仿宋" w:eastAsia="仿宋"/>
          <w:lang w:bidi="zh-CN"/>
        </w:rPr>
        <w:t>规划近期，基本建成以中心乡镇（街道）消防救援站为主力， 以乡镇（街道）志愿消防站和村（社区）微型消防站为辅助的“一主两辅”基层应急力量体系，消防救援队伍应对处置灾害能力显著提升，各片区消防安全布局进一步优化，基层火灾防控水平明显改善，消防车通道、消防供水、消防通信等公共消防设施不断健全。</w:t>
      </w:r>
    </w:p>
    <w:p>
      <w:pPr>
        <w:spacing w:line="360" w:lineRule="auto"/>
        <w:ind w:firstLine="420" w:firstLineChars="200"/>
        <w:rPr>
          <w:rFonts w:ascii="仿宋" w:hAnsi="仿宋" w:eastAsia="仿宋"/>
          <w:lang w:bidi="zh-CN"/>
        </w:rPr>
      </w:pPr>
      <w:r>
        <w:rPr>
          <w:rFonts w:hint="eastAsia" w:ascii="仿宋" w:hAnsi="仿宋" w:eastAsia="仿宋"/>
          <w:lang w:bidi="zh-CN"/>
        </w:rPr>
        <w:t>2</w:t>
      </w:r>
      <w:r>
        <w:rPr>
          <w:rFonts w:ascii="仿宋" w:hAnsi="仿宋" w:eastAsia="仿宋"/>
          <w:lang w:bidi="zh-CN"/>
        </w:rPr>
        <w:t>.1.2</w:t>
      </w:r>
      <w:r>
        <w:rPr>
          <w:rFonts w:hint="eastAsia" w:ascii="仿宋" w:hAnsi="仿宋" w:eastAsia="仿宋"/>
          <w:lang w:bidi="zh-CN"/>
        </w:rPr>
        <w:t>消防给水</w:t>
      </w:r>
    </w:p>
    <w:p>
      <w:pPr>
        <w:spacing w:line="360" w:lineRule="auto"/>
        <w:ind w:firstLine="420" w:firstLineChars="200"/>
        <w:rPr>
          <w:rFonts w:ascii="仿宋" w:hAnsi="仿宋" w:eastAsia="仿宋"/>
          <w:lang w:bidi="zh-CN"/>
        </w:rPr>
      </w:pPr>
      <w:r>
        <w:rPr>
          <w:rFonts w:hint="eastAsia" w:ascii="仿宋" w:hAnsi="仿宋" w:eastAsia="仿宋"/>
          <w:lang w:bidi="zh-CN"/>
        </w:rPr>
        <w:t>现有城镇生活水厂（站）20 座，城市水厂、城市二水厂等区域供水干管已覆盖所有场镇，供水管网已基本全域覆盖实现通村入户。</w:t>
      </w:r>
    </w:p>
    <w:p>
      <w:pPr>
        <w:spacing w:line="360" w:lineRule="auto"/>
        <w:ind w:firstLine="420" w:firstLineChars="200"/>
        <w:rPr>
          <w:rFonts w:ascii="仿宋" w:hAnsi="仿宋" w:eastAsia="仿宋"/>
          <w:lang w:bidi="zh-CN"/>
        </w:rPr>
      </w:pPr>
      <w:r>
        <w:rPr>
          <w:rFonts w:hint="eastAsia" w:ascii="仿宋" w:hAnsi="仿宋" w:eastAsia="仿宋"/>
          <w:lang w:bidi="zh-CN"/>
        </w:rPr>
        <w:t>2</w:t>
      </w:r>
      <w:r>
        <w:rPr>
          <w:rFonts w:ascii="仿宋" w:hAnsi="仿宋" w:eastAsia="仿宋"/>
          <w:lang w:bidi="zh-CN"/>
        </w:rPr>
        <w:t>.1.3</w:t>
      </w:r>
      <w:r>
        <w:rPr>
          <w:rFonts w:hint="eastAsia" w:ascii="仿宋" w:hAnsi="仿宋" w:eastAsia="仿宋"/>
          <w:lang w:bidi="zh-CN"/>
        </w:rPr>
        <w:t>消火栓</w:t>
      </w:r>
    </w:p>
    <w:p>
      <w:pPr>
        <w:spacing w:line="360" w:lineRule="auto"/>
        <w:ind w:firstLine="420" w:firstLineChars="200"/>
        <w:rPr>
          <w:rFonts w:ascii="仿宋" w:hAnsi="仿宋" w:eastAsia="仿宋"/>
          <w:lang w:bidi="zh-CN"/>
        </w:rPr>
      </w:pPr>
      <w:r>
        <w:rPr>
          <w:rFonts w:hint="eastAsia" w:ascii="仿宋" w:hAnsi="仿宋" w:eastAsia="仿宋"/>
          <w:lang w:bidi="zh-CN"/>
        </w:rPr>
        <w:t>片区内各乡镇均建有消火栓，各乡镇消火栓数量及布置间距均未达到《消防给水及消火栓系统技术规范》（GB50974-2014）要求。</w:t>
      </w:r>
    </w:p>
    <w:p>
      <w:pPr>
        <w:spacing w:line="360" w:lineRule="auto"/>
        <w:ind w:firstLine="420" w:firstLineChars="200"/>
        <w:rPr>
          <w:rFonts w:ascii="仿宋" w:hAnsi="仿宋" w:eastAsia="仿宋"/>
          <w:lang w:bidi="zh-CN"/>
        </w:rPr>
      </w:pPr>
      <w:r>
        <w:rPr>
          <w:rFonts w:hint="eastAsia" w:ascii="仿宋" w:hAnsi="仿宋" w:eastAsia="仿宋"/>
          <w:lang w:bidi="zh-CN"/>
        </w:rPr>
        <w:t>2</w:t>
      </w:r>
      <w:r>
        <w:rPr>
          <w:rFonts w:ascii="仿宋" w:hAnsi="仿宋" w:eastAsia="仿宋"/>
          <w:lang w:bidi="zh-CN"/>
        </w:rPr>
        <w:t>.1.4</w:t>
      </w:r>
      <w:r>
        <w:rPr>
          <w:rFonts w:hint="eastAsia" w:ascii="仿宋" w:hAnsi="仿宋" w:eastAsia="仿宋"/>
          <w:lang w:bidi="zh-CN"/>
        </w:rPr>
        <w:t>消防通信</w:t>
      </w:r>
    </w:p>
    <w:p>
      <w:pPr>
        <w:spacing w:line="360" w:lineRule="auto"/>
        <w:ind w:firstLine="420" w:firstLineChars="200"/>
        <w:rPr>
          <w:rFonts w:ascii="仿宋" w:hAnsi="仿宋" w:eastAsia="仿宋"/>
          <w:lang w:bidi="zh-CN"/>
        </w:rPr>
      </w:pPr>
      <w:r>
        <w:rPr>
          <w:rFonts w:hint="eastAsia" w:ascii="仿宋" w:hAnsi="仿宋" w:eastAsia="仿宋"/>
          <w:lang w:bidi="zh-CN"/>
        </w:rPr>
        <w:t>片区移动信号覆盖率整体较好，但无消防报警专线，主要依靠市话网报警，缺乏移动设施、卫星通信、语音通信等消防通信装备。</w:t>
      </w:r>
    </w:p>
    <w:p>
      <w:pPr>
        <w:spacing w:line="360" w:lineRule="auto"/>
        <w:ind w:firstLine="420" w:firstLineChars="200"/>
        <w:rPr>
          <w:rFonts w:ascii="仿宋" w:hAnsi="仿宋" w:eastAsia="仿宋"/>
          <w:lang w:bidi="zh-CN"/>
        </w:rPr>
      </w:pPr>
      <w:r>
        <w:rPr>
          <w:rFonts w:hint="eastAsia" w:ascii="仿宋" w:hAnsi="仿宋" w:eastAsia="仿宋"/>
          <w:lang w:bidi="zh-CN"/>
        </w:rPr>
        <w:t>2</w:t>
      </w:r>
      <w:r>
        <w:rPr>
          <w:rFonts w:ascii="仿宋" w:hAnsi="仿宋" w:eastAsia="仿宋"/>
          <w:lang w:bidi="zh-CN"/>
        </w:rPr>
        <w:t>.1.5</w:t>
      </w:r>
      <w:r>
        <w:rPr>
          <w:rFonts w:hint="eastAsia" w:ascii="仿宋" w:hAnsi="仿宋" w:eastAsia="仿宋"/>
          <w:lang w:bidi="zh-CN"/>
        </w:rPr>
        <w:t>消防车通道</w:t>
      </w:r>
    </w:p>
    <w:p>
      <w:pPr>
        <w:spacing w:line="360" w:lineRule="auto"/>
        <w:ind w:firstLine="420" w:firstLineChars="200"/>
        <w:rPr>
          <w:rFonts w:ascii="仿宋" w:hAnsi="仿宋" w:eastAsia="仿宋"/>
          <w:lang w:bidi="zh-CN"/>
        </w:rPr>
      </w:pPr>
      <w:r>
        <w:rPr>
          <w:rFonts w:hint="eastAsia" w:ascii="仿宋" w:hAnsi="仿宋" w:eastAsia="仿宋"/>
          <w:lang w:bidi="zh-CN"/>
        </w:rPr>
        <w:t>片区消防车通道依托于现有的路网，基本上形成了以国道244、国道542、省道302、省道408、广巴高速、巴陕高速等为主的消防车通道，初步形成较为完善的道路系统。</w:t>
      </w:r>
    </w:p>
    <w:p>
      <w:pPr>
        <w:spacing w:line="360" w:lineRule="auto"/>
        <w:ind w:firstLine="420" w:firstLineChars="200"/>
        <w:rPr>
          <w:rFonts w:ascii="仿宋" w:hAnsi="仿宋" w:eastAsia="仿宋"/>
          <w:lang w:bidi="zh-CN"/>
        </w:rPr>
      </w:pPr>
      <w:r>
        <w:rPr>
          <w:rFonts w:hint="eastAsia" w:ascii="仿宋" w:hAnsi="仿宋" w:eastAsia="仿宋"/>
          <w:lang w:bidi="zh-CN"/>
        </w:rPr>
        <w:t>2</w:t>
      </w:r>
      <w:r>
        <w:rPr>
          <w:rFonts w:ascii="仿宋" w:hAnsi="仿宋" w:eastAsia="仿宋"/>
          <w:lang w:bidi="zh-CN"/>
        </w:rPr>
        <w:t>.2</w:t>
      </w:r>
      <w:r>
        <w:rPr>
          <w:rFonts w:hint="eastAsia" w:ascii="仿宋" w:hAnsi="仿宋" w:eastAsia="仿宋"/>
          <w:lang w:bidi="zh-CN"/>
        </w:rPr>
        <w:t>片区公共消防设施体系规划</w:t>
      </w:r>
    </w:p>
    <w:p>
      <w:pPr>
        <w:spacing w:line="360" w:lineRule="auto"/>
        <w:ind w:firstLine="420" w:firstLineChars="200"/>
        <w:rPr>
          <w:rFonts w:ascii="仿宋" w:hAnsi="仿宋" w:eastAsia="仿宋"/>
          <w:lang w:bidi="zh-CN"/>
        </w:rPr>
      </w:pPr>
      <w:r>
        <w:rPr>
          <w:rFonts w:hint="eastAsia" w:ascii="仿宋" w:hAnsi="仿宋" w:eastAsia="仿宋"/>
          <w:lang w:bidi="zh-CN"/>
        </w:rPr>
        <w:t>2</w:t>
      </w:r>
      <w:r>
        <w:rPr>
          <w:rFonts w:ascii="仿宋" w:hAnsi="仿宋" w:eastAsia="仿宋"/>
          <w:lang w:bidi="zh-CN"/>
        </w:rPr>
        <w:t>.2.1</w:t>
      </w:r>
      <w:r>
        <w:rPr>
          <w:rFonts w:hint="eastAsia" w:ascii="仿宋" w:hAnsi="仿宋" w:eastAsia="仿宋"/>
          <w:lang w:bidi="zh-CN"/>
        </w:rPr>
        <w:t>消防站</w:t>
      </w:r>
    </w:p>
    <w:p>
      <w:pPr>
        <w:spacing w:line="360" w:lineRule="auto"/>
        <w:ind w:firstLine="420" w:firstLineChars="200"/>
        <w:rPr>
          <w:rFonts w:ascii="仿宋" w:hAnsi="仿宋" w:eastAsia="仿宋"/>
          <w:lang w:bidi="zh-CN"/>
        </w:rPr>
      </w:pPr>
      <w:r>
        <w:rPr>
          <w:rFonts w:hint="eastAsia" w:ascii="仿宋" w:hAnsi="仿宋" w:eastAsia="仿宋"/>
          <w:lang w:bidi="zh-CN"/>
        </w:rPr>
        <w:t>正直中心消防站服务范围以正直镇为主，责任面积154.07平方公里，并兼顾周边双流、和平及云顶三个镇消防救援需求；下两中心消防站服务范围以下两镇为主，责任面积93.63平方公里，并兼顾周边云顶及元潭两个镇消防救援需求；元潭消防站服务范围以元潭镇为主，责任面积154.07平方公里；云顶消防站服务范围以云顶镇为主，责任面积43.20平方公里；和平消防站服务范围以和平镇为主，责任面积49.62平方公里；双流消防站服务范围以双流镇为主，责任面积51.68平方公里。城北中心消防站服务范围以集州街道北部为主，责任面积85.69平方公里，并兼顾周边公山、杨坝、桥亭、坪河四个镇消防救援需求；秀水大街中心消防站服务范围以集州街道南部为主，责任面积85.69平方公里，并兼顾周边公山、赶场、团结及高塔四个镇消防救援需求；公山消防站服务范围以公山镇为主，责任面积208.57平方公里；杨坝消防站服务范围以杨坝镇为主，责任面积81.63平方公里；桥亭消防站服务范围以桥亭镇为主，责任面积171.84平方公里；坪河消防站服务范围以坪河镇为主，责任面积67.55平方公里；赶场消防站服务范围以赶场镇为主，责任面积144.85平方公里。长赤中心消防站服务范围以长赤镇为主，并兼顾周边天池、红光、侯家镇消防救援需求，责任面积1</w:t>
      </w:r>
      <w:r>
        <w:rPr>
          <w:rFonts w:ascii="仿宋" w:hAnsi="仿宋" w:eastAsia="仿宋"/>
          <w:lang w:bidi="zh-CN"/>
        </w:rPr>
        <w:t>51.20</w:t>
      </w:r>
      <w:r>
        <w:rPr>
          <w:rFonts w:hint="eastAsia" w:ascii="仿宋" w:hAnsi="仿宋" w:eastAsia="仿宋"/>
          <w:lang w:bidi="zh-CN"/>
        </w:rPr>
        <w:t>平方公里；天池镇消防站服务范围以天池镇为主；侯家镇消防站服务范围以侯家镇为主；红光镇消防站服务范围以红光镇为主。大河中心消防站服务范围以大河镇为主，并兼顾六个镇消防救援需求，责任面积1</w:t>
      </w:r>
      <w:r>
        <w:rPr>
          <w:rFonts w:ascii="仿宋" w:hAnsi="仿宋" w:eastAsia="仿宋"/>
          <w:lang w:bidi="zh-CN"/>
        </w:rPr>
        <w:t>75.30</w:t>
      </w:r>
      <w:r>
        <w:rPr>
          <w:rFonts w:hint="eastAsia" w:ascii="仿宋" w:hAnsi="仿宋" w:eastAsia="仿宋"/>
          <w:lang w:bidi="zh-CN"/>
        </w:rPr>
        <w:t>平方公里；石滩镇消防站服务范围以石滩镇为主；高桥镇消防站服务范围以高桥镇为主；仁和镇消防站服务范围以仁和镇为主；兴马镇消防站服务范围以兴马镇为主；关路镇消防站服务范围以关路镇为主；关门镇消防站服务范围以关门镇为主。沙河中心消防站服务范围以沙河镇为主，责任面积</w:t>
      </w:r>
      <w:r>
        <w:rPr>
          <w:rFonts w:ascii="仿宋" w:hAnsi="仿宋" w:eastAsia="仿宋"/>
          <w:lang w:bidi="zh-CN"/>
        </w:rPr>
        <w:t>71.35</w:t>
      </w:r>
      <w:r>
        <w:rPr>
          <w:rFonts w:hint="eastAsia" w:ascii="仿宋" w:hAnsi="仿宋" w:eastAsia="仿宋"/>
          <w:lang w:bidi="zh-CN"/>
        </w:rPr>
        <w:t>平方公里并兼顾周边、团结、八庙、赤溪和高塔四个镇消防救援需求；高塔消防站服务范围以高塔镇为主；八庙消防站服务范围以八庙镇为主；团结消防站服务范围以团结乡为主；赤溪消防站服务范围以赤溪镇为主；关坝中心消防站服务范围以关坝镇为主，并兼顾周边光雾山、贵民和神门三个镇消防救援需求；光雾山消防站服务范围以光雾山镇为主；贵民消防站服务范围以贵民镇为主；神门消防站服务范围以神门乡为主。</w:t>
      </w:r>
    </w:p>
    <w:p>
      <w:pPr>
        <w:spacing w:line="360" w:lineRule="auto"/>
        <w:ind w:firstLine="420" w:firstLineChars="200"/>
        <w:rPr>
          <w:rFonts w:ascii="仿宋" w:hAnsi="仿宋" w:eastAsia="仿宋"/>
          <w:lang w:bidi="zh-CN"/>
        </w:rPr>
      </w:pPr>
      <w:r>
        <w:rPr>
          <w:rFonts w:hint="eastAsia" w:ascii="仿宋" w:hAnsi="仿宋" w:eastAsia="仿宋"/>
          <w:lang w:bidi="zh-CN"/>
        </w:rPr>
        <w:t>微型消防站以救早、灭小和“三分钟到场”扑救初起火灾为目标，配备必要的消防器材，规划片区内依托单位志愿消防站和村（社区）微型消防站，设置消防安全重点单位微型消防站和村级微型消防站两类。</w:t>
      </w:r>
    </w:p>
    <w:p>
      <w:pPr>
        <w:spacing w:line="360" w:lineRule="auto"/>
        <w:ind w:firstLine="420" w:firstLineChars="200"/>
        <w:rPr>
          <w:rFonts w:ascii="仿宋" w:hAnsi="仿宋" w:eastAsia="仿宋"/>
          <w:lang w:bidi="zh-CN"/>
        </w:rPr>
      </w:pPr>
      <w:r>
        <w:rPr>
          <w:rFonts w:hint="eastAsia" w:ascii="仿宋" w:hAnsi="仿宋" w:eastAsia="仿宋"/>
          <w:lang w:bidi="zh-CN"/>
        </w:rPr>
        <w:t>消防安全重点单位微型消防站按公安部印发的《消防安全重点单位微型消防站建设标准（试行）》规定执行，村级微型消防站参照《社区微型消防站建设标准（试行）》规定执行，并设置在村委会建筑内。</w:t>
      </w:r>
    </w:p>
    <w:p>
      <w:pPr>
        <w:spacing w:line="360" w:lineRule="auto"/>
        <w:ind w:firstLine="420" w:firstLineChars="200"/>
        <w:rPr>
          <w:rFonts w:ascii="仿宋" w:hAnsi="仿宋" w:eastAsia="仿宋"/>
          <w:lang w:bidi="zh-CN"/>
        </w:rPr>
      </w:pPr>
      <w:r>
        <w:rPr>
          <w:rFonts w:hint="eastAsia" w:ascii="仿宋" w:hAnsi="仿宋" w:eastAsia="仿宋"/>
          <w:lang w:bidi="zh-CN"/>
        </w:rPr>
        <w:t>微型消防站人员配备不少于6人，配备一定数量的灭火器、水枪、水带等灭火器材；配置外线电话、手持对讲机等通信器材；有条件的站点可选配消防头盔、灭火防护服、防护靴、破拆工具等器材。</w:t>
      </w:r>
    </w:p>
    <w:p>
      <w:pPr>
        <w:spacing w:line="360" w:lineRule="auto"/>
        <w:ind w:firstLine="420" w:firstLineChars="200"/>
        <w:jc w:val="center"/>
        <w:rPr>
          <w:rFonts w:ascii="仿宋" w:hAnsi="仿宋" w:eastAsia="仿宋"/>
          <w:lang w:bidi="zh-CN"/>
        </w:rPr>
      </w:pPr>
      <w:r>
        <w:drawing>
          <wp:inline distT="0" distB="0" distL="0" distR="0">
            <wp:extent cx="3521075" cy="1867535"/>
            <wp:effectExtent l="0" t="0" r="3175" b="0"/>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4"/>
                    <a:stretch>
                      <a:fillRect/>
                    </a:stretch>
                  </pic:blipFill>
                  <pic:spPr>
                    <a:xfrm>
                      <a:off x="0" y="0"/>
                      <a:ext cx="3532975" cy="1874102"/>
                    </a:xfrm>
                    <a:prstGeom prst="rect">
                      <a:avLst/>
                    </a:prstGeom>
                  </pic:spPr>
                </pic:pic>
              </a:graphicData>
            </a:graphic>
          </wp:inline>
        </w:drawing>
      </w:r>
    </w:p>
    <w:p>
      <w:pPr>
        <w:spacing w:line="360" w:lineRule="auto"/>
        <w:ind w:firstLine="420" w:firstLineChars="200"/>
        <w:rPr>
          <w:rFonts w:ascii="仿宋" w:hAnsi="仿宋" w:eastAsia="仿宋"/>
          <w:lang w:bidi="zh-CN"/>
        </w:rPr>
      </w:pPr>
      <w:r>
        <w:rPr>
          <w:rFonts w:hint="eastAsia" w:ascii="仿宋" w:hAnsi="仿宋" w:eastAsia="仿宋"/>
          <w:lang w:bidi="zh-CN"/>
        </w:rPr>
        <w:t>2</w:t>
      </w:r>
      <w:r>
        <w:rPr>
          <w:rFonts w:ascii="仿宋" w:hAnsi="仿宋" w:eastAsia="仿宋"/>
          <w:lang w:bidi="zh-CN"/>
        </w:rPr>
        <w:t>.2.2</w:t>
      </w:r>
      <w:r>
        <w:rPr>
          <w:rFonts w:hint="eastAsia" w:ascii="仿宋" w:hAnsi="仿宋" w:eastAsia="仿宋"/>
          <w:lang w:bidi="zh-CN"/>
        </w:rPr>
        <w:t>消防车通道</w:t>
      </w:r>
    </w:p>
    <w:p>
      <w:pPr>
        <w:spacing w:line="360" w:lineRule="auto"/>
        <w:ind w:firstLine="420" w:firstLineChars="200"/>
        <w:rPr>
          <w:rFonts w:ascii="仿宋" w:hAnsi="仿宋" w:eastAsia="仿宋"/>
          <w:lang w:bidi="zh-CN"/>
        </w:rPr>
      </w:pPr>
      <w:r>
        <w:rPr>
          <w:rFonts w:hint="eastAsia" w:ascii="仿宋" w:hAnsi="仿宋" w:eastAsia="仿宋"/>
          <w:lang w:bidi="zh-CN"/>
        </w:rPr>
        <w:t>根据片区道路等级与功能，将消防车通道分为四类：</w:t>
      </w:r>
    </w:p>
    <w:p>
      <w:pPr>
        <w:spacing w:line="360" w:lineRule="auto"/>
        <w:ind w:firstLine="420" w:firstLineChars="200"/>
        <w:rPr>
          <w:rFonts w:ascii="仿宋" w:hAnsi="仿宋" w:eastAsia="仿宋"/>
          <w:lang w:bidi="zh-CN"/>
        </w:rPr>
      </w:pPr>
      <w:r>
        <w:rPr>
          <w:rFonts w:hint="eastAsia" w:ascii="仿宋" w:hAnsi="仿宋" w:eastAsia="仿宋"/>
          <w:lang w:bidi="zh-CN"/>
        </w:rPr>
        <w:t>（1）消防车高速通道：主要指高速公路，如片区内巴陕高速、广巴高速等。</w:t>
      </w:r>
    </w:p>
    <w:p>
      <w:pPr>
        <w:spacing w:line="360" w:lineRule="auto"/>
        <w:ind w:firstLine="420" w:firstLineChars="200"/>
        <w:rPr>
          <w:rFonts w:ascii="仿宋" w:hAnsi="仿宋" w:eastAsia="仿宋"/>
          <w:lang w:bidi="zh-CN"/>
        </w:rPr>
      </w:pPr>
      <w:r>
        <w:rPr>
          <w:rFonts w:hint="eastAsia" w:ascii="仿宋" w:hAnsi="仿宋" w:eastAsia="仿宋"/>
          <w:lang w:bidi="zh-CN"/>
        </w:rPr>
        <w:t>（2）消防车快速通道：主要指快速路、高速公路入城衔接段、以及条件较好的国道、省道，如国道244、国道542、省道302、省道301等。</w:t>
      </w:r>
    </w:p>
    <w:p>
      <w:pPr>
        <w:spacing w:line="360" w:lineRule="auto"/>
        <w:ind w:firstLine="420" w:firstLineChars="200"/>
        <w:rPr>
          <w:rFonts w:ascii="仿宋" w:hAnsi="仿宋" w:eastAsia="仿宋"/>
          <w:lang w:bidi="zh-CN"/>
        </w:rPr>
      </w:pPr>
      <w:r>
        <w:rPr>
          <w:rFonts w:hint="eastAsia" w:ascii="仿宋" w:hAnsi="仿宋" w:eastAsia="仿宋"/>
          <w:lang w:bidi="zh-CN"/>
        </w:rPr>
        <w:t>（3）消防车主要通道：主要指除高速信道、快速信道以外的国道、省道等。</w:t>
      </w:r>
    </w:p>
    <w:p>
      <w:pPr>
        <w:spacing w:line="360" w:lineRule="auto"/>
        <w:ind w:firstLine="420" w:firstLineChars="200"/>
        <w:rPr>
          <w:rFonts w:ascii="仿宋" w:hAnsi="仿宋" w:eastAsia="仿宋"/>
          <w:lang w:bidi="zh-CN"/>
        </w:rPr>
      </w:pPr>
      <w:r>
        <w:rPr>
          <w:rFonts w:hint="eastAsia" w:ascii="仿宋" w:hAnsi="仿宋" w:eastAsia="仿宋"/>
          <w:lang w:bidi="zh-CN"/>
        </w:rPr>
        <w:t>（4）消防车一般通道：主要包括县道、乡道、街道等。</w:t>
      </w:r>
    </w:p>
    <w:p>
      <w:pPr>
        <w:spacing w:line="360" w:lineRule="auto"/>
        <w:ind w:firstLine="420" w:firstLineChars="200"/>
        <w:rPr>
          <w:rFonts w:ascii="仿宋" w:hAnsi="仿宋" w:eastAsia="仿宋"/>
          <w:lang w:bidi="zh-CN"/>
        </w:rPr>
      </w:pPr>
      <w:r>
        <w:rPr>
          <w:rFonts w:hint="eastAsia" w:ascii="仿宋" w:hAnsi="仿宋" w:eastAsia="仿宋"/>
          <w:lang w:bidi="zh-CN"/>
        </w:rPr>
        <w:t>注重完善城镇道路网，合理布置主次干路，提高道路网密度，增添快速路系统等一系列工程措施并加强交通管理，减少交通阻塞，提高通行能力，确保消防车通道畅通；从消防安全角度出发，规划危险品运输线路均不得穿越城区；需从外部进入城镇的危险物品运输线路，不得通过人口较密集的地区。</w:t>
      </w:r>
    </w:p>
    <w:p>
      <w:pPr>
        <w:spacing w:line="360" w:lineRule="auto"/>
        <w:ind w:firstLine="420" w:firstLineChars="200"/>
        <w:rPr>
          <w:rFonts w:ascii="仿宋" w:hAnsi="仿宋" w:eastAsia="仿宋"/>
          <w:lang w:bidi="zh-CN"/>
        </w:rPr>
      </w:pPr>
      <w:r>
        <w:rPr>
          <w:rFonts w:hint="eastAsia" w:ascii="仿宋" w:hAnsi="仿宋" w:eastAsia="仿宋"/>
          <w:lang w:bidi="zh-CN"/>
        </w:rPr>
        <w:t>2</w:t>
      </w:r>
      <w:r>
        <w:rPr>
          <w:rFonts w:ascii="仿宋" w:hAnsi="仿宋" w:eastAsia="仿宋"/>
          <w:lang w:bidi="zh-CN"/>
        </w:rPr>
        <w:t>.2.3</w:t>
      </w:r>
      <w:r>
        <w:rPr>
          <w:rFonts w:hint="eastAsia" w:ascii="仿宋" w:hAnsi="仿宋" w:eastAsia="仿宋"/>
          <w:lang w:bidi="zh-CN"/>
        </w:rPr>
        <w:t>消防供水</w:t>
      </w:r>
    </w:p>
    <w:p>
      <w:pPr>
        <w:spacing w:line="360" w:lineRule="auto"/>
        <w:ind w:firstLine="420" w:firstLineChars="200"/>
        <w:rPr>
          <w:rFonts w:ascii="仿宋" w:hAnsi="仿宋" w:eastAsia="仿宋"/>
          <w:lang w:bidi="zh-CN"/>
        </w:rPr>
      </w:pPr>
      <w:r>
        <w:rPr>
          <w:rFonts w:hint="eastAsia" w:ascii="仿宋" w:hAnsi="仿宋" w:eastAsia="仿宋"/>
          <w:lang w:bidi="zh-CN"/>
        </w:rPr>
        <w:t>根据片区水资源、气候、地形地貌等资源环境承载力评价，因地制宜、因水制宜地确定当地消防水源建设规划，加强消防水源日常维护管理和监控。</w:t>
      </w:r>
    </w:p>
    <w:p>
      <w:pPr>
        <w:spacing w:line="360" w:lineRule="auto"/>
        <w:ind w:firstLine="420" w:firstLineChars="200"/>
        <w:rPr>
          <w:rFonts w:ascii="仿宋" w:hAnsi="仿宋" w:eastAsia="仿宋"/>
          <w:lang w:bidi="zh-CN"/>
        </w:rPr>
      </w:pPr>
      <w:r>
        <w:rPr>
          <w:rFonts w:hint="eastAsia" w:ascii="仿宋" w:hAnsi="仿宋" w:eastAsia="仿宋"/>
          <w:lang w:bidi="zh-CN"/>
        </w:rPr>
        <w:t>（1）城镇消防供水</w:t>
      </w:r>
    </w:p>
    <w:p>
      <w:pPr>
        <w:spacing w:line="360" w:lineRule="auto"/>
        <w:ind w:firstLine="420" w:firstLineChars="200"/>
        <w:rPr>
          <w:rFonts w:ascii="仿宋" w:hAnsi="仿宋" w:eastAsia="仿宋"/>
          <w:lang w:bidi="zh-CN"/>
        </w:rPr>
      </w:pPr>
      <w:r>
        <w:rPr>
          <w:rFonts w:hint="eastAsia" w:ascii="仿宋" w:hAnsi="仿宋" w:eastAsia="仿宋"/>
          <w:lang w:bidi="zh-CN"/>
        </w:rPr>
        <w:t>城镇消防供水主要利用市政给水管网，消防水池、天然水池、蓄水池等辅以利用。消防供水管道宜环状敷设，其管径、消火栓间距应当符合《建筑设计防火规范》（GB50016-2014）、《消防给水及消火栓系统技术规范范》（GB50974-2014）等规定，同一时间内的火灾次数和一次灭火用水量应按照《消防给水及消火栓系统技术规范范》（GB50974-2014）的规定确定。规划对于原有供水管道陈旧或水压、水量不足的，结合供水管道实际进行扩建、改建和更新，采用低压消防给水系统，给水系统水压不低于0.1Mpa，以满足消防供水要求。</w:t>
      </w:r>
    </w:p>
    <w:p>
      <w:pPr>
        <w:spacing w:line="360" w:lineRule="auto"/>
        <w:ind w:firstLine="420" w:firstLineChars="200"/>
        <w:rPr>
          <w:rFonts w:ascii="仿宋" w:hAnsi="仿宋" w:eastAsia="仿宋"/>
          <w:lang w:bidi="zh-CN"/>
        </w:rPr>
      </w:pPr>
      <w:r>
        <w:rPr>
          <w:rFonts w:hint="eastAsia" w:ascii="仿宋" w:hAnsi="仿宋" w:eastAsia="仿宋"/>
          <w:lang w:bidi="zh-CN"/>
        </w:rPr>
        <w:t>（2）农村消防供水</w:t>
      </w:r>
    </w:p>
    <w:p>
      <w:pPr>
        <w:spacing w:line="360" w:lineRule="auto"/>
        <w:ind w:firstLine="420" w:firstLineChars="200"/>
        <w:rPr>
          <w:rFonts w:ascii="仿宋" w:hAnsi="仿宋" w:eastAsia="仿宋"/>
          <w:lang w:bidi="zh-CN"/>
        </w:rPr>
      </w:pPr>
      <w:r>
        <w:rPr>
          <w:rFonts w:hint="eastAsia" w:ascii="仿宋" w:hAnsi="仿宋" w:eastAsia="仿宋"/>
          <w:lang w:bidi="zh-CN"/>
        </w:rPr>
        <w:t>农村消防供水充分利用市政给水、消防水池、天然水源（江河、水库、水塘等），并修建连通天然水源的消防车通道和取水设施，未经规划部门批准，任何部门都不得破坏天然水源。</w:t>
      </w:r>
    </w:p>
    <w:p>
      <w:pPr>
        <w:spacing w:line="360" w:lineRule="auto"/>
        <w:ind w:firstLine="420" w:firstLineChars="200"/>
        <w:rPr>
          <w:rFonts w:ascii="仿宋" w:hAnsi="仿宋" w:eastAsia="仿宋"/>
          <w:lang w:bidi="zh-CN"/>
        </w:rPr>
      </w:pPr>
      <w:r>
        <w:rPr>
          <w:rFonts w:hint="eastAsia" w:ascii="仿宋" w:hAnsi="仿宋" w:eastAsia="仿宋"/>
          <w:lang w:bidi="zh-CN"/>
        </w:rPr>
        <w:t>具备给水管网条件的农村，应设室外消防给水系统，消防给水管道的管径不宜小于100mm，消防给水系统宜与生产、生活给水系统合用，并应满足消防供水的要求；不具备给水管网条件或室外消防给水系统不符合消防供水要求的农村，应建设消防水池或利用天然水源，消防水池容量不宜小于100m</w:t>
      </w:r>
      <w:r>
        <w:rPr>
          <w:rFonts w:ascii="Calibri" w:hAnsi="Calibri" w:eastAsia="仿宋" w:cs="Calibri"/>
          <w:lang w:bidi="zh-CN"/>
        </w:rPr>
        <w:t>³</w:t>
      </w:r>
      <w:r>
        <w:rPr>
          <w:rFonts w:hint="eastAsia" w:ascii="仿宋" w:hAnsi="仿宋" w:eastAsia="仿宋" w:cs="仿宋"/>
          <w:lang w:bidi="zh-CN"/>
        </w:rPr>
        <w:t>，建筑耐火等级较低的村庄，消防水池的容量不宜小于</w:t>
      </w:r>
      <w:r>
        <w:rPr>
          <w:rFonts w:hint="eastAsia" w:ascii="仿宋" w:hAnsi="仿宋" w:eastAsia="仿宋"/>
          <w:lang w:bidi="zh-CN"/>
        </w:rPr>
        <w:t>200m</w:t>
      </w:r>
      <w:r>
        <w:rPr>
          <w:rFonts w:ascii="Calibri" w:hAnsi="Calibri" w:eastAsia="仿宋" w:cs="Calibri"/>
          <w:lang w:bidi="zh-CN"/>
        </w:rPr>
        <w:t>³</w:t>
      </w:r>
      <w:r>
        <w:rPr>
          <w:rFonts w:hint="eastAsia" w:ascii="仿宋" w:hAnsi="仿宋" w:eastAsia="仿宋" w:cs="仿宋"/>
          <w:lang w:bidi="zh-CN"/>
        </w:rPr>
        <w:t>，农村散居结合自建水塔、自打水井提供消防取水。</w:t>
      </w:r>
    </w:p>
    <w:p>
      <w:pPr>
        <w:spacing w:line="360" w:lineRule="auto"/>
        <w:ind w:firstLine="420" w:firstLineChars="200"/>
        <w:rPr>
          <w:rFonts w:ascii="仿宋" w:hAnsi="仿宋" w:eastAsia="仿宋"/>
          <w:lang w:bidi="zh-CN"/>
        </w:rPr>
      </w:pPr>
      <w:r>
        <w:rPr>
          <w:rFonts w:hint="eastAsia" w:ascii="仿宋" w:hAnsi="仿宋" w:eastAsia="仿宋"/>
          <w:lang w:bidi="zh-CN"/>
        </w:rPr>
        <w:t>根据片区远期道路交通规划，结合河流、水库等天然水源利用条件，以及规划聚居点布置情况，重点加强农村地区及重要林区消防水池的建设，片区规划设置</w:t>
      </w:r>
      <w:r>
        <w:rPr>
          <w:rFonts w:hint="eastAsia" w:ascii="仿宋" w:hAnsi="仿宋" w:eastAsia="仿宋"/>
          <w:lang w:eastAsia="zh-CN" w:bidi="zh-CN"/>
        </w:rPr>
        <w:t>消防</w:t>
      </w:r>
      <w:r>
        <w:rPr>
          <w:rFonts w:hint="eastAsia" w:ascii="仿宋" w:hAnsi="仿宋" w:eastAsia="仿宋"/>
          <w:lang w:bidi="zh-CN"/>
        </w:rPr>
        <w:t>取水码头，取水码头的选址综合考虑避让了河湖划界、永久基本农田，并征求了各乡镇的意见。</w:t>
      </w:r>
    </w:p>
    <w:p>
      <w:pPr>
        <w:spacing w:line="360" w:lineRule="auto"/>
        <w:ind w:firstLine="420" w:firstLineChars="200"/>
        <w:rPr>
          <w:rFonts w:ascii="仿宋" w:hAnsi="仿宋" w:eastAsia="仿宋"/>
          <w:lang w:bidi="zh-CN"/>
        </w:rPr>
      </w:pPr>
      <w:r>
        <w:rPr>
          <w:rFonts w:hint="eastAsia" w:ascii="仿宋" w:hAnsi="仿宋" w:eastAsia="仿宋"/>
          <w:lang w:bidi="zh-CN"/>
        </w:rPr>
        <w:t>2</w:t>
      </w:r>
      <w:r>
        <w:rPr>
          <w:rFonts w:ascii="仿宋" w:hAnsi="仿宋" w:eastAsia="仿宋"/>
          <w:lang w:bidi="zh-CN"/>
        </w:rPr>
        <w:t>.2.4</w:t>
      </w:r>
      <w:r>
        <w:rPr>
          <w:rFonts w:hint="eastAsia" w:ascii="仿宋" w:hAnsi="仿宋" w:eastAsia="仿宋"/>
          <w:lang w:bidi="zh-CN"/>
        </w:rPr>
        <w:t>消防供电</w:t>
      </w:r>
    </w:p>
    <w:p>
      <w:pPr>
        <w:spacing w:line="360" w:lineRule="auto"/>
        <w:ind w:firstLine="420" w:firstLineChars="200"/>
        <w:rPr>
          <w:rFonts w:ascii="仿宋" w:hAnsi="仿宋" w:eastAsia="仿宋"/>
          <w:lang w:bidi="zh-CN"/>
        </w:rPr>
      </w:pPr>
      <w:r>
        <w:rPr>
          <w:rFonts w:hint="eastAsia" w:ascii="仿宋" w:hAnsi="仿宋" w:eastAsia="仿宋"/>
          <w:lang w:bidi="zh-CN"/>
        </w:rPr>
        <w:t>根据《南江县云顶茶旅融合发展片区国土空间总体规划（2021-2035年）》（阶段成果）、《南江县集州生态工业及现代服务业发展片区国土空间总体规划（2021-2035年）》（阶段成果）、《南江县长赤优质粮油片区国土空间总体规划（2021-2035年）》（阶段成果）、《南江县大河种养循环发展片区国土空间总体规划（2021-2035年）》（阶段成果）、《南江县沙河农旅融合发展片区国土空间总体规划（2021-2035年）》（阶段成果）、《南江县国土空间总体规划（2021-2035年）》、《南江县光雾山诺水河文旅融合发展示范区(南江片区)国土空间总体规划（2021-2035年）》（阶段成果），规划至2035年，片区内建有35kV变电站28座、110kV变电站6座、220kv变电站1座。注重改造农村电网，降低供电半径，原则上要求城镇规划建设区10kV电力线全部地埋，提高片区电网的安全稳定运行水平，有效保证片区的用电需求，消防站应确保电源供电可靠性，应采用双回路供电，负荷等级不低于二级负荷。</w:t>
      </w:r>
    </w:p>
    <w:p>
      <w:pPr>
        <w:pStyle w:val="19"/>
        <w:numPr>
          <w:ilvl w:val="0"/>
          <w:numId w:val="2"/>
        </w:numPr>
        <w:ind w:firstLineChars="0"/>
        <w:rPr>
          <w:rFonts w:ascii="黑体" w:hAnsi="黑体" w:eastAsia="黑体"/>
          <w:sz w:val="28"/>
          <w:szCs w:val="36"/>
        </w:rPr>
      </w:pPr>
      <w:r>
        <w:rPr>
          <w:rFonts w:hint="eastAsia" w:ascii="黑体" w:hAnsi="黑体" w:eastAsia="黑体"/>
          <w:sz w:val="28"/>
          <w:szCs w:val="36"/>
        </w:rPr>
        <w:t>镇区消防规划</w:t>
      </w:r>
    </w:p>
    <w:p>
      <w:pPr>
        <w:spacing w:line="360" w:lineRule="auto"/>
        <w:ind w:firstLine="420" w:firstLineChars="200"/>
        <w:rPr>
          <w:rFonts w:ascii="仿宋" w:hAnsi="仿宋" w:eastAsia="仿宋"/>
          <w:lang w:bidi="zh-CN"/>
        </w:rPr>
      </w:pPr>
      <w:r>
        <w:rPr>
          <w:rFonts w:hint="eastAsia" w:ascii="仿宋" w:hAnsi="仿宋" w:eastAsia="仿宋"/>
          <w:lang w:bidi="zh-CN"/>
        </w:rPr>
        <w:t>根据远期用地布局规划，集州片区城北中心消防站按照城市一级标准建设，人员装备按照城市一级消防站标准配置；云顶片区正直和下两中心消防站按照乡镇一级标准建设；长赤片区长赤中心消防站按照乡镇一级标准建设；大河片区大河中心消防站按照乡镇一级标准建设；沙河片区沙河中心消防站按照乡镇一级标准建设；光雾山片区关坝中心消防站按照城市一级标准建设，人员装备按照城市一级消防站标准配置。按照《乡镇消防队》（</w:t>
      </w:r>
      <w:r>
        <w:rPr>
          <w:rFonts w:ascii="仿宋" w:hAnsi="仿宋" w:eastAsia="仿宋"/>
          <w:lang w:bidi="zh-CN"/>
        </w:rPr>
        <w:t>GB∕T35547-2017</w:t>
      </w:r>
      <w:r>
        <w:rPr>
          <w:rFonts w:hint="eastAsia" w:ascii="仿宋" w:hAnsi="仿宋" w:eastAsia="仿宋"/>
          <w:lang w:bidi="zh-CN"/>
        </w:rPr>
        <w:t>）及《四川省乡镇专职消防救援站建设指导手册》（试行）标准进行升级配置，乡镇专职消防员人数不少于</w:t>
      </w:r>
      <w:r>
        <w:rPr>
          <w:rFonts w:ascii="仿宋" w:hAnsi="仿宋" w:eastAsia="仿宋"/>
          <w:lang w:bidi="zh-CN"/>
        </w:rPr>
        <w:t>15</w:t>
      </w:r>
      <w:r>
        <w:rPr>
          <w:rFonts w:hint="eastAsia" w:ascii="仿宋" w:hAnsi="仿宋" w:eastAsia="仿宋"/>
          <w:lang w:bidi="zh-CN"/>
        </w:rPr>
        <w:t>人，消防车辆不少于</w:t>
      </w:r>
      <w:r>
        <w:rPr>
          <w:rFonts w:ascii="仿宋" w:hAnsi="仿宋" w:eastAsia="仿宋"/>
          <w:lang w:bidi="zh-CN"/>
        </w:rPr>
        <w:t>3</w:t>
      </w:r>
      <w:r>
        <w:rPr>
          <w:rFonts w:hint="eastAsia" w:ascii="仿宋" w:hAnsi="仿宋" w:eastAsia="仿宋"/>
          <w:lang w:bidi="zh-CN"/>
        </w:rPr>
        <w:t>辆。</w:t>
      </w:r>
    </w:p>
    <w:p>
      <w:pPr>
        <w:pStyle w:val="19"/>
        <w:numPr>
          <w:ilvl w:val="0"/>
          <w:numId w:val="2"/>
        </w:numPr>
        <w:ind w:firstLineChars="0"/>
        <w:rPr>
          <w:rFonts w:ascii="黑体" w:hAnsi="黑体" w:eastAsia="黑体"/>
          <w:sz w:val="28"/>
          <w:szCs w:val="36"/>
        </w:rPr>
      </w:pPr>
      <w:r>
        <w:rPr>
          <w:rFonts w:hint="eastAsia" w:ascii="黑体" w:hAnsi="黑体" w:eastAsia="黑体"/>
          <w:sz w:val="28"/>
          <w:szCs w:val="36"/>
        </w:rPr>
        <w:t>分期建设规划</w:t>
      </w:r>
    </w:p>
    <w:p>
      <w:pPr>
        <w:spacing w:line="360" w:lineRule="auto"/>
        <w:ind w:firstLine="420" w:firstLineChars="200"/>
        <w:rPr>
          <w:rFonts w:ascii="仿宋" w:hAnsi="仿宋" w:eastAsia="仿宋"/>
          <w:lang w:bidi="zh-CN"/>
        </w:rPr>
      </w:pPr>
      <w:r>
        <w:rPr>
          <w:rFonts w:hint="eastAsia" w:ascii="仿宋" w:hAnsi="仿宋" w:eastAsia="仿宋"/>
          <w:lang w:bidi="zh-CN"/>
        </w:rPr>
        <w:t>本次消防专项规划建设时序与上位规划保持一致，近期至2025年，远期至2035年。</w:t>
      </w:r>
    </w:p>
    <w:p>
      <w:pPr>
        <w:spacing w:line="360" w:lineRule="auto"/>
        <w:ind w:firstLine="420" w:firstLineChars="200"/>
        <w:rPr>
          <w:rFonts w:ascii="仿宋" w:hAnsi="仿宋" w:eastAsia="仿宋"/>
        </w:rPr>
      </w:pPr>
      <w:r>
        <w:rPr>
          <w:rFonts w:hint="eastAsia" w:ascii="仿宋" w:hAnsi="仿宋" w:eastAsia="仿宋"/>
        </w:rPr>
        <w:t>本次规划近期主要对六个乡镇级片区、片区内32个乡镇、工业园区、消防安全重点单位的消防设施进行提升和完善，注重消防给水、消防通信、消防车通道等建设。</w:t>
      </w:r>
    </w:p>
    <w:p>
      <w:pPr>
        <w:spacing w:line="360" w:lineRule="auto"/>
        <w:ind w:firstLine="420" w:firstLineChars="200"/>
        <w:rPr>
          <w:rFonts w:ascii="仿宋" w:hAnsi="仿宋" w:eastAsia="仿宋"/>
        </w:rPr>
      </w:pPr>
      <w:r>
        <w:rPr>
          <w:rFonts w:hint="eastAsia" w:ascii="仿宋" w:hAnsi="仿宋" w:eastAsia="仿宋"/>
        </w:rPr>
        <w:t>远期完善片区内所有镇村、消防安全重点单位等消防设施，有效减少火灾事故。</w:t>
      </w:r>
    </w:p>
    <w:p>
      <w:pPr>
        <w:widowControl/>
        <w:jc w:val="left"/>
      </w:pPr>
      <w:r>
        <w:br w:type="page"/>
      </w:r>
    </w:p>
    <w:p>
      <w:pPr>
        <w:jc w:val="center"/>
        <w:rPr>
          <w:rFonts w:ascii="黑体" w:hAnsi="黑体" w:eastAsia="黑体"/>
          <w:sz w:val="32"/>
          <w:szCs w:val="40"/>
        </w:rPr>
      </w:pPr>
      <w:r>
        <w:rPr>
          <w:rFonts w:hint="eastAsia" w:ascii="黑体" w:hAnsi="黑体" w:eastAsia="黑体"/>
          <w:sz w:val="32"/>
          <w:szCs w:val="40"/>
        </w:rPr>
        <w:t>部分规划图纸</w:t>
      </w:r>
    </w:p>
    <w:p>
      <w:pPr>
        <w:widowControl/>
        <w:jc w:val="left"/>
      </w:pPr>
    </w:p>
    <w:p>
      <w:pPr>
        <w:jc w:val="center"/>
      </w:pPr>
    </w:p>
    <w:p>
      <w:r>
        <w:drawing>
          <wp:inline distT="0" distB="0" distL="0" distR="0">
            <wp:extent cx="5273675" cy="3724910"/>
            <wp:effectExtent l="0" t="0" r="3175" b="889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5" cstate="print">
                      <a:extLst>
                        <a:ext uri="{28A0092B-C50C-407E-A947-70E740481C1C}">
                          <a14:useLocalDpi xmlns:a14="http://schemas.microsoft.com/office/drawing/2010/main" val="false"/>
                        </a:ext>
                      </a:extLst>
                    </a:blip>
                    <a:stretch>
                      <a:fillRect/>
                    </a:stretch>
                  </pic:blipFill>
                  <pic:spPr>
                    <a:xfrm>
                      <a:off x="0" y="0"/>
                      <a:ext cx="5274124" cy="3724910"/>
                    </a:xfrm>
                    <a:prstGeom prst="rect">
                      <a:avLst/>
                    </a:prstGeom>
                  </pic:spPr>
                </pic:pic>
              </a:graphicData>
            </a:graphic>
          </wp:inline>
        </w:drawing>
      </w:r>
    </w:p>
    <w:p>
      <w:r>
        <w:drawing>
          <wp:inline distT="0" distB="0" distL="0" distR="0">
            <wp:extent cx="5274310" cy="7468235"/>
            <wp:effectExtent l="0" t="0" r="2540" b="0"/>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pic:cNvPicPr>
                  </pic:nvPicPr>
                  <pic:blipFill>
                    <a:blip r:embed="rId6" cstate="print">
                      <a:extLst>
                        <a:ext uri="{28A0092B-C50C-407E-A947-70E740481C1C}">
                          <a14:useLocalDpi xmlns:a14="http://schemas.microsoft.com/office/drawing/2010/main" val="false"/>
                        </a:ext>
                      </a:extLst>
                    </a:blip>
                    <a:stretch>
                      <a:fillRect/>
                    </a:stretch>
                  </pic:blipFill>
                  <pic:spPr>
                    <a:xfrm>
                      <a:off x="0" y="0"/>
                      <a:ext cx="5274310" cy="7468837"/>
                    </a:xfrm>
                    <a:prstGeom prst="rect">
                      <a:avLst/>
                    </a:prstGeom>
                  </pic:spPr>
                </pic:pic>
              </a:graphicData>
            </a:graphic>
          </wp:inline>
        </w:drawing>
      </w:r>
    </w:p>
    <w:p>
      <w:r>
        <w:drawing>
          <wp:inline distT="0" distB="0" distL="0" distR="0">
            <wp:extent cx="5274310" cy="7468235"/>
            <wp:effectExtent l="0" t="0" r="2540" b="0"/>
            <wp:docPr id="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true"/>
                    </pic:cNvPicPr>
                  </pic:nvPicPr>
                  <pic:blipFill>
                    <a:blip r:embed="rId7" cstate="print">
                      <a:extLst>
                        <a:ext uri="{28A0092B-C50C-407E-A947-70E740481C1C}">
                          <a14:useLocalDpi xmlns:a14="http://schemas.microsoft.com/office/drawing/2010/main" val="false"/>
                        </a:ext>
                      </a:extLst>
                    </a:blip>
                    <a:stretch>
                      <a:fillRect/>
                    </a:stretch>
                  </pic:blipFill>
                  <pic:spPr>
                    <a:xfrm>
                      <a:off x="0" y="0"/>
                      <a:ext cx="5274310" cy="7468837"/>
                    </a:xfrm>
                    <a:prstGeom prst="rect">
                      <a:avLst/>
                    </a:prstGeom>
                  </pic:spPr>
                </pic:pic>
              </a:graphicData>
            </a:graphic>
          </wp:inline>
        </w:drawing>
      </w:r>
    </w:p>
    <w:p>
      <w:r>
        <w:drawing>
          <wp:inline distT="0" distB="0" distL="0" distR="0">
            <wp:extent cx="5274310" cy="7468235"/>
            <wp:effectExtent l="0" t="0" r="2540" b="0"/>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pic:cNvPicPr>
                  </pic:nvPicPr>
                  <pic:blipFill>
                    <a:blip r:embed="rId8" cstate="print">
                      <a:extLst>
                        <a:ext uri="{28A0092B-C50C-407E-A947-70E740481C1C}">
                          <a14:useLocalDpi xmlns:a14="http://schemas.microsoft.com/office/drawing/2010/main" val="false"/>
                        </a:ext>
                      </a:extLst>
                    </a:blip>
                    <a:stretch>
                      <a:fillRect/>
                    </a:stretch>
                  </pic:blipFill>
                  <pic:spPr>
                    <a:xfrm>
                      <a:off x="0" y="0"/>
                      <a:ext cx="5274310" cy="7468837"/>
                    </a:xfrm>
                    <a:prstGeom prst="rect">
                      <a:avLst/>
                    </a:prstGeom>
                  </pic:spPr>
                </pic:pic>
              </a:graphicData>
            </a:graphic>
          </wp:inline>
        </w:drawing>
      </w:r>
      <w:r>
        <w:drawing>
          <wp:inline distT="0" distB="0" distL="0" distR="0">
            <wp:extent cx="5274310" cy="7468235"/>
            <wp:effectExtent l="0" t="0" r="2540" b="0"/>
            <wp:docPr id="1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true"/>
                    </pic:cNvPicPr>
                  </pic:nvPicPr>
                  <pic:blipFill>
                    <a:blip r:embed="rId9" cstate="print">
                      <a:extLst>
                        <a:ext uri="{28A0092B-C50C-407E-A947-70E740481C1C}">
                          <a14:useLocalDpi xmlns:a14="http://schemas.microsoft.com/office/drawing/2010/main" val="false"/>
                        </a:ext>
                      </a:extLst>
                    </a:blip>
                    <a:stretch>
                      <a:fillRect/>
                    </a:stretch>
                  </pic:blipFill>
                  <pic:spPr>
                    <a:xfrm>
                      <a:off x="0" y="0"/>
                      <a:ext cx="5274310" cy="7468837"/>
                    </a:xfrm>
                    <a:prstGeom prst="rect">
                      <a:avLst/>
                    </a:prstGeom>
                  </pic:spPr>
                </pic:pic>
              </a:graphicData>
            </a:graphic>
          </wp:inline>
        </w:drawing>
      </w:r>
      <w:r>
        <w:rPr>
          <w:rFonts w:hint="eastAsia"/>
        </w:rPr>
        <w:drawing>
          <wp:inline distT="0" distB="0" distL="0" distR="0">
            <wp:extent cx="5274310" cy="3730625"/>
            <wp:effectExtent l="0" t="0" r="2540" b="3175"/>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pic:cNvPicPr>
                  </pic:nvPicPr>
                  <pic:blipFill>
                    <a:blip r:embed="rId10" cstate="print">
                      <a:extLst>
                        <a:ext uri="{28A0092B-C50C-407E-A947-70E740481C1C}">
                          <a14:useLocalDpi xmlns:a14="http://schemas.microsoft.com/office/drawing/2010/main" val="false"/>
                        </a:ext>
                      </a:extLst>
                    </a:blip>
                    <a:stretch>
                      <a:fillRect/>
                    </a:stretch>
                  </pic:blipFill>
                  <pic:spPr>
                    <a:xfrm>
                      <a:off x="0" y="0"/>
                      <a:ext cx="5274310" cy="3730958"/>
                    </a:xfrm>
                    <a:prstGeom prst="rect">
                      <a:avLst/>
                    </a:prstGeom>
                  </pic:spPr>
                </pic:pic>
              </a:graphicData>
            </a:graphic>
          </wp:inline>
        </w:drawing>
      </w:r>
    </w:p>
    <w:p>
      <w:r>
        <w:rPr>
          <w:rFonts w:hint="eastAsia"/>
        </w:rPr>
        <w:drawing>
          <wp:inline distT="0" distB="0" distL="0" distR="0">
            <wp:extent cx="5274310" cy="7468870"/>
            <wp:effectExtent l="0" t="0" r="2540" b="0"/>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pic:cNvPicPr>
                  </pic:nvPicPr>
                  <pic:blipFill>
                    <a:blip r:embed="rId11" cstate="print">
                      <a:extLst>
                        <a:ext uri="{28A0092B-C50C-407E-A947-70E740481C1C}">
                          <a14:useLocalDpi xmlns:a14="http://schemas.microsoft.com/office/drawing/2010/main" val="false"/>
                        </a:ext>
                      </a:extLst>
                    </a:blip>
                    <a:stretch>
                      <a:fillRect/>
                    </a:stretch>
                  </pic:blipFill>
                  <pic:spPr>
                    <a:xfrm>
                      <a:off x="0" y="0"/>
                      <a:ext cx="5274310" cy="7468870"/>
                    </a:xfrm>
                    <a:prstGeom prst="rect">
                      <a:avLst/>
                    </a:prstGeom>
                  </pic:spPr>
                </pic:pic>
              </a:graphicData>
            </a:graphic>
          </wp:inline>
        </w:drawing>
      </w:r>
    </w:p>
    <w:p>
      <w:r>
        <w:rPr>
          <w:rFonts w:hint="eastAsia"/>
        </w:rPr>
        <w:drawing>
          <wp:inline distT="0" distB="0" distL="0" distR="0">
            <wp:extent cx="5274310" cy="7468870"/>
            <wp:effectExtent l="0" t="0" r="2540" b="0"/>
            <wp:docPr id="14"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true"/>
                    </pic:cNvPicPr>
                  </pic:nvPicPr>
                  <pic:blipFill>
                    <a:blip r:embed="rId12" cstate="print">
                      <a:extLst>
                        <a:ext uri="{28A0092B-C50C-407E-A947-70E740481C1C}">
                          <a14:useLocalDpi xmlns:a14="http://schemas.microsoft.com/office/drawing/2010/main" val="false"/>
                        </a:ext>
                      </a:extLst>
                    </a:blip>
                    <a:stretch>
                      <a:fillRect/>
                    </a:stretch>
                  </pic:blipFill>
                  <pic:spPr>
                    <a:xfrm>
                      <a:off x="0" y="0"/>
                      <a:ext cx="5274310" cy="7468870"/>
                    </a:xfrm>
                    <a:prstGeom prst="rect">
                      <a:avLst/>
                    </a:prstGeom>
                  </pic:spPr>
                </pic:pic>
              </a:graphicData>
            </a:graphic>
          </wp:inline>
        </w:drawing>
      </w:r>
    </w:p>
    <w:p/>
    <w:p>
      <w:r>
        <w:rPr>
          <w:rFonts w:hint="eastAsia"/>
        </w:rPr>
        <w:drawing>
          <wp:inline distT="0" distB="0" distL="0" distR="0">
            <wp:extent cx="5274310" cy="7467600"/>
            <wp:effectExtent l="0" t="0" r="2540" b="0"/>
            <wp:docPr id="15"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true"/>
                    </pic:cNvPicPr>
                  </pic:nvPicPr>
                  <pic:blipFill>
                    <a:blip r:embed="rId13" cstate="print">
                      <a:extLst>
                        <a:ext uri="{28A0092B-C50C-407E-A947-70E740481C1C}">
                          <a14:useLocalDpi xmlns:a14="http://schemas.microsoft.com/office/drawing/2010/main" val="false"/>
                        </a:ext>
                      </a:extLst>
                    </a:blip>
                    <a:stretch>
                      <a:fillRect/>
                    </a:stretch>
                  </pic:blipFill>
                  <pic:spPr>
                    <a:xfrm>
                      <a:off x="0" y="0"/>
                      <a:ext cx="5274310" cy="7467600"/>
                    </a:xfrm>
                    <a:prstGeom prst="rect">
                      <a:avLst/>
                    </a:prstGeom>
                  </pic:spPr>
                </pic:pic>
              </a:graphicData>
            </a:graphic>
          </wp:inline>
        </w:drawing>
      </w:r>
    </w:p>
    <w:p>
      <w:r>
        <w:rPr>
          <w:rFonts w:hint="eastAsia"/>
        </w:rPr>
        <w:drawing>
          <wp:inline distT="0" distB="0" distL="0" distR="0">
            <wp:extent cx="5274310" cy="7467600"/>
            <wp:effectExtent l="0" t="0" r="2540" b="0"/>
            <wp:docPr id="17"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true"/>
                    </pic:cNvPicPr>
                  </pic:nvPicPr>
                  <pic:blipFill>
                    <a:blip r:embed="rId14" cstate="print">
                      <a:extLst>
                        <a:ext uri="{28A0092B-C50C-407E-A947-70E740481C1C}">
                          <a14:useLocalDpi xmlns:a14="http://schemas.microsoft.com/office/drawing/2010/main" val="false"/>
                        </a:ext>
                      </a:extLst>
                    </a:blip>
                    <a:stretch>
                      <a:fillRect/>
                    </a:stretch>
                  </pic:blipFill>
                  <pic:spPr>
                    <a:xfrm>
                      <a:off x="0" y="0"/>
                      <a:ext cx="5274310" cy="7467600"/>
                    </a:xfrm>
                    <a:prstGeom prst="rect">
                      <a:avLst/>
                    </a:prstGeom>
                  </pic:spPr>
                </pic:pic>
              </a:graphicData>
            </a:graphic>
          </wp:inline>
        </w:drawing>
      </w:r>
    </w:p>
    <w:p>
      <w:r>
        <w:rPr>
          <w:rFonts w:hint="eastAsia"/>
        </w:rPr>
        <w:drawing>
          <wp:inline distT="0" distB="0" distL="0" distR="0">
            <wp:extent cx="5274310" cy="7467600"/>
            <wp:effectExtent l="0" t="0" r="2540" b="0"/>
            <wp:docPr id="18"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true"/>
                    </pic:cNvPicPr>
                  </pic:nvPicPr>
                  <pic:blipFill>
                    <a:blip r:embed="rId15" cstate="print">
                      <a:extLst>
                        <a:ext uri="{28A0092B-C50C-407E-A947-70E740481C1C}">
                          <a14:useLocalDpi xmlns:a14="http://schemas.microsoft.com/office/drawing/2010/main" val="false"/>
                        </a:ext>
                      </a:extLst>
                    </a:blip>
                    <a:stretch>
                      <a:fillRect/>
                    </a:stretch>
                  </pic:blipFill>
                  <pic:spPr>
                    <a:xfrm>
                      <a:off x="0" y="0"/>
                      <a:ext cx="5274310" cy="7467600"/>
                    </a:xfrm>
                    <a:prstGeom prst="rect">
                      <a:avLst/>
                    </a:prstGeom>
                  </pic:spPr>
                </pic:pic>
              </a:graphicData>
            </a:graphic>
          </wp:inline>
        </w:drawing>
      </w:r>
    </w:p>
    <w:p>
      <w:r>
        <w:rPr>
          <w:rFonts w:hint="eastAsia"/>
        </w:rPr>
        <w:drawing>
          <wp:inline distT="0" distB="0" distL="0" distR="0">
            <wp:extent cx="5274310" cy="3731260"/>
            <wp:effectExtent l="0" t="0" r="2540" b="2540"/>
            <wp:docPr id="19"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true"/>
                    </pic:cNvPicPr>
                  </pic:nvPicPr>
                  <pic:blipFill>
                    <a:blip r:embed="rId16" cstate="print">
                      <a:extLst>
                        <a:ext uri="{28A0092B-C50C-407E-A947-70E740481C1C}">
                          <a14:useLocalDpi xmlns:a14="http://schemas.microsoft.com/office/drawing/2010/main" val="false"/>
                        </a:ext>
                      </a:extLst>
                    </a:blip>
                    <a:stretch>
                      <a:fillRect/>
                    </a:stretch>
                  </pic:blipFill>
                  <pic:spPr>
                    <a:xfrm>
                      <a:off x="0" y="0"/>
                      <a:ext cx="5274310" cy="373126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
    <w:altName w:val="方正仿宋_GBK"/>
    <w:panose1 w:val="02010609060101010101"/>
    <w:charset w:val="86"/>
    <w:family w:val="modern"/>
    <w:pitch w:val="default"/>
    <w:sig w:usb0="00000000" w:usb1="00000000"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600px;height:356px" o:bullet="t">
        <v:imagedata r:id="rId1" o:title=""/>
      </v:shape>
    </w:pict>
  </w:numPicBullet>
  <w:abstractNum w:abstractNumId="0">
    <w:nsid w:val="2BA64795"/>
    <w:multiLevelType w:val="multilevel"/>
    <w:tmpl w:val="2BA64795"/>
    <w:lvl w:ilvl="0" w:tentative="0">
      <w:start w:val="1"/>
      <w:numFmt w:val="japaneseCounting"/>
      <w:lvlText w:val="%1、"/>
      <w:lvlJc w:val="left"/>
      <w:pPr>
        <w:ind w:left="432" w:hanging="432"/>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7E415E2D"/>
    <w:multiLevelType w:val="multilevel"/>
    <w:tmpl w:val="7E415E2D"/>
    <w:lvl w:ilvl="0" w:tentative="0">
      <w:start w:val="1"/>
      <w:numFmt w:val="bullet"/>
      <w:pStyle w:val="11"/>
      <w:lvlText w:val=""/>
      <w:lvlPicBulletId w:val="0"/>
      <w:lvlJc w:val="left"/>
      <w:pPr>
        <w:ind w:left="420" w:hanging="420"/>
      </w:pPr>
      <w:rPr>
        <w:rFonts w:hint="default" w:ascii="Symbol" w:hAnsi="Symbol"/>
        <w:color w:val="auto"/>
      </w:rPr>
    </w:lvl>
    <w:lvl w:ilvl="1" w:tentative="0">
      <w:start w:val="1"/>
      <w:numFmt w:val="bullet"/>
      <w:lvlText w:val=""/>
      <w:lvlJc w:val="left"/>
      <w:pPr>
        <w:ind w:left="1040" w:hanging="420"/>
      </w:pPr>
      <w:rPr>
        <w:rFonts w:hint="default" w:ascii="Wingdings" w:hAnsi="Wingdings"/>
      </w:rPr>
    </w:lvl>
    <w:lvl w:ilvl="2" w:tentative="0">
      <w:start w:val="1"/>
      <w:numFmt w:val="bullet"/>
      <w:lvlText w:val=""/>
      <w:lvlJc w:val="left"/>
      <w:pPr>
        <w:ind w:left="1460" w:hanging="420"/>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3"/>
  <w:doNotDisplayPageBoundaries w:val="true"/>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kxZDdjOTRjMTZhOWRkNTEzNzViYmU3MmU3YmNjYmIifQ=="/>
  </w:docVars>
  <w:rsids>
    <w:rsidRoot w:val="00A87AAD"/>
    <w:rsid w:val="00020B78"/>
    <w:rsid w:val="00024641"/>
    <w:rsid w:val="00034A66"/>
    <w:rsid w:val="00070AE7"/>
    <w:rsid w:val="00074729"/>
    <w:rsid w:val="000A002F"/>
    <w:rsid w:val="000A3781"/>
    <w:rsid w:val="000A4953"/>
    <w:rsid w:val="000D0274"/>
    <w:rsid w:val="000D7796"/>
    <w:rsid w:val="000D7BA9"/>
    <w:rsid w:val="000F39D1"/>
    <w:rsid w:val="00103C7E"/>
    <w:rsid w:val="00110DEE"/>
    <w:rsid w:val="001366A6"/>
    <w:rsid w:val="00153E35"/>
    <w:rsid w:val="001947A6"/>
    <w:rsid w:val="001A16A8"/>
    <w:rsid w:val="001A1C5C"/>
    <w:rsid w:val="001A309F"/>
    <w:rsid w:val="001A7CB2"/>
    <w:rsid w:val="001B13C5"/>
    <w:rsid w:val="001F1C95"/>
    <w:rsid w:val="0021289E"/>
    <w:rsid w:val="00247B2C"/>
    <w:rsid w:val="00265B35"/>
    <w:rsid w:val="00265EE1"/>
    <w:rsid w:val="002A0BC5"/>
    <w:rsid w:val="002A2C43"/>
    <w:rsid w:val="002A607C"/>
    <w:rsid w:val="002B7DF5"/>
    <w:rsid w:val="002F7524"/>
    <w:rsid w:val="00321D7D"/>
    <w:rsid w:val="003301F7"/>
    <w:rsid w:val="0036192C"/>
    <w:rsid w:val="00363A58"/>
    <w:rsid w:val="003733B5"/>
    <w:rsid w:val="003A5F86"/>
    <w:rsid w:val="003C5920"/>
    <w:rsid w:val="004316CE"/>
    <w:rsid w:val="004370A5"/>
    <w:rsid w:val="00442B35"/>
    <w:rsid w:val="00483792"/>
    <w:rsid w:val="0049350C"/>
    <w:rsid w:val="004A2B07"/>
    <w:rsid w:val="004B1A5D"/>
    <w:rsid w:val="004B68D0"/>
    <w:rsid w:val="004D40CD"/>
    <w:rsid w:val="004D7E72"/>
    <w:rsid w:val="004E0798"/>
    <w:rsid w:val="00504E12"/>
    <w:rsid w:val="00543A9F"/>
    <w:rsid w:val="00583B55"/>
    <w:rsid w:val="00590911"/>
    <w:rsid w:val="00617AB3"/>
    <w:rsid w:val="00635A03"/>
    <w:rsid w:val="006608D2"/>
    <w:rsid w:val="006706BD"/>
    <w:rsid w:val="00671A48"/>
    <w:rsid w:val="00672E68"/>
    <w:rsid w:val="00681ABF"/>
    <w:rsid w:val="006C052F"/>
    <w:rsid w:val="006D1BF0"/>
    <w:rsid w:val="006D72C9"/>
    <w:rsid w:val="006E7D71"/>
    <w:rsid w:val="006F6EC9"/>
    <w:rsid w:val="007117D0"/>
    <w:rsid w:val="00737AB7"/>
    <w:rsid w:val="00756C0D"/>
    <w:rsid w:val="007647D1"/>
    <w:rsid w:val="007801A0"/>
    <w:rsid w:val="00787AE0"/>
    <w:rsid w:val="007B0FC0"/>
    <w:rsid w:val="007D2746"/>
    <w:rsid w:val="007E1FDF"/>
    <w:rsid w:val="007E5ECE"/>
    <w:rsid w:val="0083145E"/>
    <w:rsid w:val="0083366F"/>
    <w:rsid w:val="00835EA5"/>
    <w:rsid w:val="00842155"/>
    <w:rsid w:val="008432D4"/>
    <w:rsid w:val="00855433"/>
    <w:rsid w:val="00861CB0"/>
    <w:rsid w:val="00886DBD"/>
    <w:rsid w:val="008B2AB6"/>
    <w:rsid w:val="008B69E1"/>
    <w:rsid w:val="008E7DCD"/>
    <w:rsid w:val="008F03DD"/>
    <w:rsid w:val="008F4D1D"/>
    <w:rsid w:val="00902DA4"/>
    <w:rsid w:val="00904B7E"/>
    <w:rsid w:val="00911B0D"/>
    <w:rsid w:val="00937586"/>
    <w:rsid w:val="009C110F"/>
    <w:rsid w:val="009E29BA"/>
    <w:rsid w:val="009F755D"/>
    <w:rsid w:val="00A327D6"/>
    <w:rsid w:val="00A74EAB"/>
    <w:rsid w:val="00A82EDC"/>
    <w:rsid w:val="00A87AAD"/>
    <w:rsid w:val="00AB70AA"/>
    <w:rsid w:val="00AC2E7C"/>
    <w:rsid w:val="00AE3E0E"/>
    <w:rsid w:val="00B36DF5"/>
    <w:rsid w:val="00B744FF"/>
    <w:rsid w:val="00B74645"/>
    <w:rsid w:val="00B746A9"/>
    <w:rsid w:val="00BA15B8"/>
    <w:rsid w:val="00BE1E06"/>
    <w:rsid w:val="00C22FDA"/>
    <w:rsid w:val="00C51611"/>
    <w:rsid w:val="00C6758F"/>
    <w:rsid w:val="00C715E3"/>
    <w:rsid w:val="00C73A04"/>
    <w:rsid w:val="00C83594"/>
    <w:rsid w:val="00C85021"/>
    <w:rsid w:val="00CA5FB3"/>
    <w:rsid w:val="00CD5478"/>
    <w:rsid w:val="00D03ED9"/>
    <w:rsid w:val="00D30E33"/>
    <w:rsid w:val="00D4738B"/>
    <w:rsid w:val="00D61AC9"/>
    <w:rsid w:val="00D827AA"/>
    <w:rsid w:val="00D96779"/>
    <w:rsid w:val="00D97FC4"/>
    <w:rsid w:val="00E27B3B"/>
    <w:rsid w:val="00E55BDD"/>
    <w:rsid w:val="00E9097E"/>
    <w:rsid w:val="00E94553"/>
    <w:rsid w:val="00E96E5C"/>
    <w:rsid w:val="00EB0663"/>
    <w:rsid w:val="00ED1DDE"/>
    <w:rsid w:val="00F2334E"/>
    <w:rsid w:val="00F33733"/>
    <w:rsid w:val="00FB7E8E"/>
    <w:rsid w:val="00FF0197"/>
    <w:rsid w:val="00FF4DFA"/>
    <w:rsid w:val="02056D00"/>
    <w:rsid w:val="042913CB"/>
    <w:rsid w:val="047D1717"/>
    <w:rsid w:val="048900BC"/>
    <w:rsid w:val="05790131"/>
    <w:rsid w:val="06256BE8"/>
    <w:rsid w:val="07302A71"/>
    <w:rsid w:val="09903C9B"/>
    <w:rsid w:val="0A303EE9"/>
    <w:rsid w:val="0A6273E5"/>
    <w:rsid w:val="0B136931"/>
    <w:rsid w:val="0C0544CC"/>
    <w:rsid w:val="0C7E427E"/>
    <w:rsid w:val="0D774F56"/>
    <w:rsid w:val="0E456E02"/>
    <w:rsid w:val="0FB00BF3"/>
    <w:rsid w:val="1145536B"/>
    <w:rsid w:val="122338FE"/>
    <w:rsid w:val="15B36D47"/>
    <w:rsid w:val="1732013F"/>
    <w:rsid w:val="17591B70"/>
    <w:rsid w:val="175C6F6A"/>
    <w:rsid w:val="1A7840BB"/>
    <w:rsid w:val="1BDE0896"/>
    <w:rsid w:val="1BF65BDF"/>
    <w:rsid w:val="1C2564C4"/>
    <w:rsid w:val="1C8E7BC6"/>
    <w:rsid w:val="1C9D42AD"/>
    <w:rsid w:val="1CD37CCF"/>
    <w:rsid w:val="1EA27958"/>
    <w:rsid w:val="1EDF6DFF"/>
    <w:rsid w:val="201900EE"/>
    <w:rsid w:val="20474C5B"/>
    <w:rsid w:val="21162880"/>
    <w:rsid w:val="21EA7F94"/>
    <w:rsid w:val="22A16179"/>
    <w:rsid w:val="241A61E3"/>
    <w:rsid w:val="256376A5"/>
    <w:rsid w:val="257B0F03"/>
    <w:rsid w:val="25B83E79"/>
    <w:rsid w:val="28164F13"/>
    <w:rsid w:val="28441A80"/>
    <w:rsid w:val="287A1946"/>
    <w:rsid w:val="28BC1F5F"/>
    <w:rsid w:val="28E13773"/>
    <w:rsid w:val="29CF6C7D"/>
    <w:rsid w:val="2A2D4EC2"/>
    <w:rsid w:val="2B6B704E"/>
    <w:rsid w:val="2B8209DE"/>
    <w:rsid w:val="2C7843EE"/>
    <w:rsid w:val="2CC82C80"/>
    <w:rsid w:val="2DD613CD"/>
    <w:rsid w:val="3287110E"/>
    <w:rsid w:val="32C4213C"/>
    <w:rsid w:val="33245604"/>
    <w:rsid w:val="3641163C"/>
    <w:rsid w:val="369B7657"/>
    <w:rsid w:val="37F76B0F"/>
    <w:rsid w:val="38D8249D"/>
    <w:rsid w:val="3AD13648"/>
    <w:rsid w:val="3D5D11C3"/>
    <w:rsid w:val="3DC01751"/>
    <w:rsid w:val="3E2D5039"/>
    <w:rsid w:val="3EF23B8C"/>
    <w:rsid w:val="3FDC6EB1"/>
    <w:rsid w:val="410C362B"/>
    <w:rsid w:val="423544BC"/>
    <w:rsid w:val="443163BB"/>
    <w:rsid w:val="45230F44"/>
    <w:rsid w:val="48763A80"/>
    <w:rsid w:val="4CD11285"/>
    <w:rsid w:val="4D043409"/>
    <w:rsid w:val="4DEF230B"/>
    <w:rsid w:val="50B27620"/>
    <w:rsid w:val="53B11E10"/>
    <w:rsid w:val="543800A2"/>
    <w:rsid w:val="54AC67B6"/>
    <w:rsid w:val="54C33BA9"/>
    <w:rsid w:val="569C0B56"/>
    <w:rsid w:val="578A30A4"/>
    <w:rsid w:val="58931AE5"/>
    <w:rsid w:val="593212FE"/>
    <w:rsid w:val="5AF96577"/>
    <w:rsid w:val="5B136F0D"/>
    <w:rsid w:val="5D086F45"/>
    <w:rsid w:val="5E553520"/>
    <w:rsid w:val="5FDA449D"/>
    <w:rsid w:val="60CF1B28"/>
    <w:rsid w:val="60D61108"/>
    <w:rsid w:val="62FF4946"/>
    <w:rsid w:val="63B05C41"/>
    <w:rsid w:val="64F34037"/>
    <w:rsid w:val="653A7EB8"/>
    <w:rsid w:val="66BB0B84"/>
    <w:rsid w:val="67A40BD2"/>
    <w:rsid w:val="69BE2739"/>
    <w:rsid w:val="6B1E16E2"/>
    <w:rsid w:val="6C3D203B"/>
    <w:rsid w:val="6D7101EF"/>
    <w:rsid w:val="6DBF55F1"/>
    <w:rsid w:val="70335C2F"/>
    <w:rsid w:val="71B763EC"/>
    <w:rsid w:val="71D376CA"/>
    <w:rsid w:val="746D7236"/>
    <w:rsid w:val="74D44721"/>
    <w:rsid w:val="74F31E31"/>
    <w:rsid w:val="763E70DC"/>
    <w:rsid w:val="764861AD"/>
    <w:rsid w:val="78462278"/>
    <w:rsid w:val="79C142AC"/>
    <w:rsid w:val="7C077CB9"/>
    <w:rsid w:val="7C701FB9"/>
    <w:rsid w:val="7C7750F6"/>
    <w:rsid w:val="7D5B67C5"/>
    <w:rsid w:val="7D731D61"/>
    <w:rsid w:val="7DB859C6"/>
    <w:rsid w:val="7EDE76AE"/>
    <w:rsid w:val="7F6E99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5"/>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16"/>
    <w:qFormat/>
    <w:uiPriority w:val="0"/>
    <w:pPr>
      <w:keepNext/>
      <w:keepLines/>
      <w:spacing w:before="260" w:after="260" w:line="416" w:lineRule="auto"/>
      <w:outlineLvl w:val="2"/>
    </w:pPr>
    <w:rPr>
      <w:b/>
      <w:bCs/>
      <w:sz w:val="32"/>
      <w:szCs w:val="32"/>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5">
    <w:name w:val="Date"/>
    <w:basedOn w:val="1"/>
    <w:next w:val="1"/>
    <w:link w:val="20"/>
    <w:semiHidden/>
    <w:unhideWhenUsed/>
    <w:qFormat/>
    <w:uiPriority w:val="99"/>
    <w:pPr>
      <w:ind w:left="100" w:leftChars="2500"/>
    </w:pPr>
  </w:style>
  <w:style w:type="paragraph" w:styleId="6">
    <w:name w:val="footer"/>
    <w:basedOn w:val="1"/>
    <w:link w:val="18"/>
    <w:unhideWhenUsed/>
    <w:qFormat/>
    <w:uiPriority w:val="99"/>
    <w:pPr>
      <w:tabs>
        <w:tab w:val="center" w:pos="4153"/>
        <w:tab w:val="right" w:pos="8306"/>
      </w:tabs>
      <w:snapToGrid w:val="0"/>
      <w:jc w:val="left"/>
    </w:pPr>
    <w:rPr>
      <w:sz w:val="18"/>
      <w:szCs w:val="18"/>
    </w:rPr>
  </w:style>
  <w:style w:type="paragraph" w:styleId="7">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10">
    <w:name w:val="项目符号列表"/>
    <w:qFormat/>
    <w:uiPriority w:val="0"/>
    <w:pPr>
      <w:spacing w:before="50" w:beforeLines="50" w:after="50" w:afterLines="50"/>
    </w:pPr>
    <w:rPr>
      <w:rFonts w:asciiTheme="minorHAnsi" w:hAnsiTheme="minorHAnsi" w:eastAsiaTheme="minorEastAsia" w:cstheme="minorBidi"/>
      <w:kern w:val="2"/>
      <w:sz w:val="21"/>
      <w:szCs w:val="22"/>
      <w:lang w:val="en-US" w:eastAsia="zh-CN" w:bidi="ar-SA"/>
    </w:rPr>
  </w:style>
  <w:style w:type="paragraph" w:customStyle="1" w:styleId="11">
    <w:name w:val="项目符号列表1"/>
    <w:qFormat/>
    <w:uiPriority w:val="0"/>
    <w:pPr>
      <w:numPr>
        <w:ilvl w:val="0"/>
        <w:numId w:val="1"/>
      </w:numPr>
      <w:spacing w:before="50" w:beforeLines="50" w:after="50" w:afterLines="50"/>
    </w:pPr>
    <w:rPr>
      <w:rFonts w:asciiTheme="minorHAnsi" w:hAnsiTheme="minorHAnsi" w:eastAsiaTheme="minorEastAsia" w:cstheme="minorBidi"/>
      <w:kern w:val="2"/>
      <w:sz w:val="21"/>
      <w:szCs w:val="22"/>
      <w:lang w:val="en-US" w:eastAsia="zh-CN" w:bidi="ar-SA"/>
    </w:rPr>
  </w:style>
  <w:style w:type="character" w:customStyle="1" w:styleId="12">
    <w:name w:val="high-light-bg4"/>
    <w:basedOn w:val="9"/>
    <w:qFormat/>
    <w:uiPriority w:val="0"/>
  </w:style>
  <w:style w:type="character" w:customStyle="1" w:styleId="13">
    <w:name w:val="hps"/>
    <w:basedOn w:val="9"/>
    <w:qFormat/>
    <w:uiPriority w:val="0"/>
  </w:style>
  <w:style w:type="character" w:customStyle="1" w:styleId="14">
    <w:name w:val="标题 1 字符"/>
    <w:basedOn w:val="9"/>
    <w:link w:val="2"/>
    <w:qFormat/>
    <w:uiPriority w:val="0"/>
    <w:rPr>
      <w:rFonts w:ascii="Times New Roman" w:hAnsi="Times New Roman" w:eastAsia="宋体" w:cs="Times New Roman"/>
      <w:b/>
      <w:bCs/>
      <w:kern w:val="44"/>
      <w:sz w:val="44"/>
      <w:szCs w:val="44"/>
    </w:rPr>
  </w:style>
  <w:style w:type="character" w:customStyle="1" w:styleId="15">
    <w:name w:val="标题 2 字符"/>
    <w:basedOn w:val="9"/>
    <w:link w:val="3"/>
    <w:qFormat/>
    <w:uiPriority w:val="0"/>
    <w:rPr>
      <w:rFonts w:ascii="Arial" w:hAnsi="Arial" w:eastAsia="黑体" w:cs="Times New Roman"/>
      <w:b/>
      <w:bCs/>
      <w:sz w:val="32"/>
      <w:szCs w:val="32"/>
    </w:rPr>
  </w:style>
  <w:style w:type="character" w:customStyle="1" w:styleId="16">
    <w:name w:val="标题 3 字符"/>
    <w:basedOn w:val="9"/>
    <w:link w:val="4"/>
    <w:qFormat/>
    <w:uiPriority w:val="0"/>
    <w:rPr>
      <w:rFonts w:ascii="Times New Roman" w:hAnsi="Times New Roman" w:eastAsia="宋体" w:cs="Times New Roman"/>
      <w:b/>
      <w:bCs/>
      <w:sz w:val="32"/>
      <w:szCs w:val="32"/>
    </w:rPr>
  </w:style>
  <w:style w:type="character" w:customStyle="1" w:styleId="17">
    <w:name w:val="页眉 字符"/>
    <w:basedOn w:val="9"/>
    <w:link w:val="7"/>
    <w:qFormat/>
    <w:uiPriority w:val="99"/>
    <w:rPr>
      <w:rFonts w:ascii="Times New Roman" w:hAnsi="Times New Roman" w:eastAsia="宋体" w:cs="Times New Roman"/>
      <w:sz w:val="18"/>
      <w:szCs w:val="18"/>
    </w:rPr>
  </w:style>
  <w:style w:type="character" w:customStyle="1" w:styleId="18">
    <w:name w:val="页脚 字符"/>
    <w:basedOn w:val="9"/>
    <w:link w:val="6"/>
    <w:qFormat/>
    <w:uiPriority w:val="99"/>
    <w:rPr>
      <w:rFonts w:ascii="Times New Roman" w:hAnsi="Times New Roman" w:eastAsia="宋体" w:cs="Times New Roman"/>
      <w:sz w:val="18"/>
      <w:szCs w:val="18"/>
    </w:rPr>
  </w:style>
  <w:style w:type="paragraph" w:styleId="19">
    <w:name w:val="List Paragraph"/>
    <w:basedOn w:val="1"/>
    <w:qFormat/>
    <w:uiPriority w:val="34"/>
    <w:pPr>
      <w:ind w:firstLine="420" w:firstLineChars="200"/>
    </w:pPr>
  </w:style>
  <w:style w:type="character" w:customStyle="1" w:styleId="20">
    <w:name w:val="日期 字符"/>
    <w:basedOn w:val="9"/>
    <w:link w:val="5"/>
    <w:semiHidden/>
    <w:qFormat/>
    <w:uiPriority w:val="99"/>
    <w:rPr>
      <w:rFonts w:ascii="Times New Roman" w:hAnsi="Times New Roman"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4549</Words>
  <Characters>4851</Characters>
  <Lines>34</Lines>
  <Paragraphs>9</Paragraphs>
  <TotalTime>13</TotalTime>
  <ScaleCrop>false</ScaleCrop>
  <LinksUpToDate>false</LinksUpToDate>
  <CharactersWithSpaces>4853</CharactersWithSpaces>
  <Application>WPS Office_11.8.2.1111_F1E327BC-269C-435d-A152-05C5408002CA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2022-12-28T23:14:00Z</dcterms:created>
  <dc:creator>杨 乾虎</dc:creator>
  <cp:lastModifiedBy>user</cp:lastModifiedBy>
  <cp:lastPrinted>2023-01-03T14:58:00Z</cp:lastPrinted>
  <dcterms:modified xsi:type="dcterms:W3CDTF">2023-01-12T15:49:07Z</dcterms:modified>
  <cp:revision>137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2052-11.8.2.1111</vt:lpwstr>
  </property>
  <property fmtid="{D5CDD505-2E9C-101B-9397-08002B2CF9AE}" pid="3" name="ICV">
    <vt:lpwstr>47EB4BBE5CD14F82A119E09DFB74D334</vt:lpwstr>
  </property>
</Properties>
</file>