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4" w:tblpY="22"/>
        <w:tblOverlap w:val="never"/>
        <w:tblW w:w="9252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2211"/>
        <w:gridCol w:w="1131"/>
        <w:gridCol w:w="232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50" w:hRule="atLeast"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南江县投资促进局</w:t>
            </w:r>
            <w:r>
              <w:rPr>
                <w:rFonts w:eastAsia="黑体"/>
                <w:color w:val="000000"/>
                <w:sz w:val="36"/>
                <w:szCs w:val="36"/>
              </w:rPr>
              <w:t>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财政重点评价过程中，发现评价</w:t>
            </w:r>
            <w:r>
              <w:rPr>
                <w:rFonts w:hint="eastAsia" w:eastAsia="方正仿宋简体"/>
                <w:color w:val="000000"/>
                <w:sz w:val="16"/>
                <w:szCs w:val="16"/>
                <w:lang w:eastAsia="zh-CN"/>
              </w:rPr>
              <w:t>对象</w:t>
            </w:r>
            <w:r>
              <w:rPr>
                <w:rFonts w:eastAsia="方正仿宋简体"/>
                <w:color w:val="000000"/>
                <w:sz w:val="16"/>
                <w:szCs w:val="16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6"/>
                <w:szCs w:val="16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6"/>
                <w:szCs w:val="16"/>
              </w:rPr>
              <w:t>财政局确认后每次扣1分，最高扣5分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</w:t>
            </w:r>
            <w:r>
              <w:rPr>
                <w:rFonts w:hint="eastAsia" w:eastAsia="方正仿宋简体"/>
                <w:color w:val="000000"/>
                <w:sz w:val="15"/>
                <w:szCs w:val="15"/>
                <w:lang w:val="en-US" w:eastAsia="zh-CN"/>
              </w:rPr>
              <w:t>93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）　优秀（Ｘ≥90分)　良好（90＞Ｘ≥75分）合格（75分＞Ｘ≥60分）　不合格（Ｘ＜60）分）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  <w:lang w:val="zh-CN"/>
        </w:rPr>
      </w:pPr>
    </w:p>
    <w:sectPr>
      <w:headerReference r:id="rId3" w:type="default"/>
      <w:pgSz w:w="11904" w:h="16834"/>
      <w:pgMar w:top="1440" w:right="2880" w:bottom="1440" w:left="28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WIxOTVlYmFmOGIwNzg1OGIzOTUyNjExOWQxZDA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B749C9"/>
    <w:rsid w:val="051B01A1"/>
    <w:rsid w:val="0665331F"/>
    <w:rsid w:val="076429FB"/>
    <w:rsid w:val="0CC93FC1"/>
    <w:rsid w:val="0ECD6DF7"/>
    <w:rsid w:val="17501BF9"/>
    <w:rsid w:val="1FB60A37"/>
    <w:rsid w:val="2E00716F"/>
    <w:rsid w:val="2FBFEB39"/>
    <w:rsid w:val="30565D93"/>
    <w:rsid w:val="32116773"/>
    <w:rsid w:val="3423789C"/>
    <w:rsid w:val="38985FFA"/>
    <w:rsid w:val="3D4978FC"/>
    <w:rsid w:val="3E4827B3"/>
    <w:rsid w:val="41AC6254"/>
    <w:rsid w:val="4AAE5E77"/>
    <w:rsid w:val="4AFFBCEF"/>
    <w:rsid w:val="55FD3C09"/>
    <w:rsid w:val="5A38073E"/>
    <w:rsid w:val="5B9C762E"/>
    <w:rsid w:val="63776DB9"/>
    <w:rsid w:val="66DE01DF"/>
    <w:rsid w:val="6B685329"/>
    <w:rsid w:val="6BBF2293"/>
    <w:rsid w:val="6D7376AA"/>
    <w:rsid w:val="6E2434B3"/>
    <w:rsid w:val="707029DF"/>
    <w:rsid w:val="73FB071B"/>
    <w:rsid w:val="74EB39D5"/>
    <w:rsid w:val="7C2F7BF3"/>
    <w:rsid w:val="7DEB9645"/>
    <w:rsid w:val="7EFDC671"/>
    <w:rsid w:val="7FFF86D0"/>
    <w:rsid w:val="9AD7EC3C"/>
    <w:rsid w:val="BF712778"/>
    <w:rsid w:val="D7DE19F1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2742</Words>
  <Characters>2823</Characters>
  <Lines>153</Lines>
  <Paragraphs>43</Paragraphs>
  <TotalTime>110</TotalTime>
  <ScaleCrop>false</ScaleCrop>
  <LinksUpToDate>false</LinksUpToDate>
  <CharactersWithSpaces>2887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2021-03-03T09:35:00Z</dcterms:created>
  <dc:creator>伍松</dc:creator>
  <cp:lastModifiedBy>流星追忆</cp:lastModifiedBy>
  <cp:lastPrinted>2023-05-12T00:12:00Z</cp:lastPrinted>
  <dcterms:modified xsi:type="dcterms:W3CDTF">2024-12-23T16:02:12Z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B7AB865C0F1D4970B58E8B0C00D26DFF</vt:lpwstr>
  </property>
</Properties>
</file>