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3662"/>
        <w:gridCol w:w="1679"/>
        <w:gridCol w:w="1065"/>
        <w:gridCol w:w="1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附件：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8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南江县综合行政执法局202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年度会前学法计划安排表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学习内容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参加培训人员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时间安排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《四川省行政调解工作暂行办法》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《中华人民共和国行政复议法实施条例》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全体干部职工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石勇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中华人民共和国行政诉讼法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《最高人民法院关于行政机关负责人出庭应诉若干问题的规定》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全体干部职工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肖伟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  <w:t>《建设工程质量检测管理办法》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全体干部职工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陈刚军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重大行政决策程序暂行条例》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《城市道路管理条例》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全体干部职工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郑哲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《村庄和集镇规划建设建设管理条例》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全体干部职工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邱坤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《四川省城镇排水与污水处理条例》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《巴中市城乡污水处理条例》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全体干部职工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杨清山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四川省行政处罚听证程序规定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》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全体干部职工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石勇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《四川省中华人民共和国大气污染防治法实施办法》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《巴中市扬尘污染防治条例》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全体干部职工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邱坤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《建设工程安全生产管理条例》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《建筑施工企业安全生产许可证管理规定》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全体干部职工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陈刚军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《中华人民共和国公务员法》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中华人民共和国公职人员政务处分法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全体干部职工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谢瑕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中华人民共和国反有组织犯罪法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全体干部职工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肖伟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中华人民共和国反电信网络诈骗法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全体干部职工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杨清山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年2月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YmUwODYyZjkzOWFiMjNlNzZmYmE1NGRkZDgxNjMifQ=="/>
  </w:docVars>
  <w:rsids>
    <w:rsidRoot w:val="687A680F"/>
    <w:rsid w:val="59B07885"/>
    <w:rsid w:val="687A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556</Characters>
  <Lines>0</Lines>
  <Paragraphs>0</Paragraphs>
  <TotalTime>0</TotalTime>
  <ScaleCrop>false</ScaleCrop>
  <LinksUpToDate>false</LinksUpToDate>
  <CharactersWithSpaces>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2023-06-06T02:22:00Z</dcterms:created>
  <dc:creator>Dell</dc:creator>
  <cp:lastModifiedBy>Dell</cp:lastModifiedBy>
  <dcterms:modified xsi:type="dcterms:W3CDTF">2023-06-06T02:23:46Z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97F4B21A4B764ADFBBF21034B981D07F_13</vt:lpwstr>
  </property>
</Properties>
</file>