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ind w:left="63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川府土〔2023〕699号</w:t>
      </w:r>
    </w:p>
    <w:p>
      <w:pPr>
        <w:spacing w:line="336" w:lineRule="auto"/>
      </w:pPr>
    </w:p>
    <w:p>
      <w:pPr>
        <w:spacing w:line="337" w:lineRule="auto"/>
      </w:pPr>
    </w:p>
    <w:p>
      <w:pPr>
        <w:spacing w:before="140" w:line="219" w:lineRule="auto"/>
        <w:ind w:left="34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四川省人民政府</w:t>
      </w:r>
    </w:p>
    <w:p>
      <w:pPr>
        <w:spacing w:before="182" w:line="219" w:lineRule="auto"/>
        <w:ind w:left="22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6"/>
          <w:sz w:val="43"/>
          <w:szCs w:val="43"/>
        </w:rPr>
        <w:t>关于南江县2022年第4批次</w:t>
      </w:r>
    </w:p>
    <w:p>
      <w:pPr>
        <w:spacing w:before="181" w:line="220" w:lineRule="auto"/>
        <w:ind w:left="34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建设用地的批复</w:t>
      </w:r>
      <w:bookmarkStart w:id="0" w:name="_GoBack"/>
      <w:bookmarkEnd w:id="0"/>
    </w:p>
    <w:p>
      <w:pPr>
        <w:spacing w:line="327" w:lineRule="auto"/>
      </w:pPr>
    </w:p>
    <w:p>
      <w:pPr>
        <w:spacing w:line="327" w:lineRule="auto"/>
      </w:pPr>
    </w:p>
    <w:p>
      <w:pPr>
        <w:spacing w:before="98" w:line="223" w:lineRule="auto"/>
        <w:ind w:left="4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南江县人民政府：</w:t>
      </w:r>
    </w:p>
    <w:p>
      <w:pPr>
        <w:spacing w:before="223" w:line="613" w:lineRule="exact"/>
        <w:ind w:left="1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position w:val="23"/>
          <w:sz w:val="30"/>
          <w:szCs w:val="30"/>
        </w:rPr>
        <w:t>你县《关于南江县2022年第4批次建设用地的请示》(南府</w:t>
      </w:r>
    </w:p>
    <w:p>
      <w:pPr>
        <w:spacing w:before="1" w:line="222" w:lineRule="auto"/>
        <w:ind w:left="5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〔2022〕71号)收悉。经研究，现批复如下。</w:t>
      </w:r>
    </w:p>
    <w:p>
      <w:pPr>
        <w:spacing w:before="223" w:line="604" w:lineRule="exact"/>
        <w:ind w:left="1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23"/>
          <w:sz w:val="30"/>
          <w:szCs w:val="30"/>
        </w:rPr>
        <w:t>一、原则同意呈报的建设用地项目呈报说明书、</w:t>
      </w:r>
      <w:r>
        <w:rPr>
          <w:rFonts w:ascii="仿宋" w:hAnsi="仿宋" w:eastAsia="仿宋" w:cs="仿宋"/>
          <w:spacing w:val="4"/>
          <w:position w:val="23"/>
          <w:sz w:val="30"/>
          <w:szCs w:val="30"/>
        </w:rPr>
        <w:t>农用地转用方</w:t>
      </w:r>
    </w:p>
    <w:p>
      <w:pPr>
        <w:spacing w:before="1" w:line="221" w:lineRule="auto"/>
        <w:ind w:left="4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案、补充耕地方案和征收土地方案。</w:t>
      </w:r>
    </w:p>
    <w:p>
      <w:pPr>
        <w:spacing w:before="239" w:line="368" w:lineRule="auto"/>
        <w:ind w:left="490" w:right="67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二、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同意将南江县集州街道跃进社区1、2社7.493</w:t>
      </w:r>
      <w:r>
        <w:rPr>
          <w:rFonts w:ascii="仿宋" w:hAnsi="仿宋" w:eastAsia="仿宋" w:cs="仿宋"/>
          <w:spacing w:val="11"/>
          <w:sz w:val="30"/>
          <w:szCs w:val="30"/>
        </w:rPr>
        <w:t>0公顷集体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农用地(其中：非永久基本农田耕地4.6280公顷，园地1.638</w:t>
      </w:r>
      <w:r>
        <w:rPr>
          <w:rFonts w:ascii="仿宋" w:hAnsi="仿宋" w:eastAsia="仿宋" w:cs="仿宋"/>
          <w:spacing w:val="17"/>
          <w:sz w:val="30"/>
          <w:szCs w:val="30"/>
        </w:rPr>
        <w:t>4公</w:t>
      </w:r>
    </w:p>
    <w:p>
      <w:pPr>
        <w:spacing w:before="2" w:line="218" w:lineRule="auto"/>
        <w:ind w:left="4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顷，林地0.5178公顷，其他农用地0.7088公顷)转为建设用地。</w:t>
      </w:r>
    </w:p>
    <w:p>
      <w:pPr>
        <w:spacing w:before="244" w:line="371" w:lineRule="auto"/>
        <w:ind w:left="490" w:right="7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同时将本批次批准转为的建设用地和上述农村集体原有的建设用地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0.7586公顷，合计8.2516公顷土地征收为国家所有，作为南江县</w:t>
      </w:r>
    </w:p>
    <w:p>
      <w:pPr>
        <w:spacing w:before="1" w:line="222" w:lineRule="auto"/>
        <w:ind w:left="4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2022年第4批次建设用地。</w:t>
      </w:r>
    </w:p>
    <w:p>
      <w:pPr>
        <w:spacing w:before="238" w:line="378" w:lineRule="auto"/>
        <w:ind w:left="490" w:right="700" w:firstLine="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南江县人民政府要严格依法履行征地批后实施程序，按照 </w:t>
      </w:r>
      <w:r>
        <w:rPr>
          <w:rFonts w:ascii="仿宋" w:hAnsi="仿宋" w:eastAsia="仿宋" w:cs="仿宋"/>
          <w:spacing w:val="5"/>
          <w:sz w:val="30"/>
          <w:szCs w:val="30"/>
        </w:rPr>
        <w:t>有关法律法规妥善安置被征地农民，及时兑现补偿费用，安排好被</w:t>
      </w:r>
    </w:p>
    <w:p>
      <w:pPr>
        <w:spacing w:before="1" w:line="220" w:lineRule="auto"/>
        <w:ind w:left="4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征地农民的社会保障费用，落实安置措施，妥善解决好被征地农民</w:t>
      </w:r>
    </w:p>
    <w:p>
      <w:pPr>
        <w:sectPr>
          <w:pgSz w:w="12170" w:h="16920"/>
          <w:pgMar w:top="1413" w:right="1029" w:bottom="0" w:left="1079" w:header="0" w:footer="0" w:gutter="0"/>
          <w:cols w:space="720" w:num="1"/>
        </w:sectPr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before="94" w:line="376" w:lineRule="auto"/>
        <w:ind w:left="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的生产和生活，认真做好被征地农民的就业培训和社会保障</w:t>
      </w:r>
      <w:r>
        <w:rPr>
          <w:rFonts w:ascii="仿宋" w:hAnsi="仿宋" w:eastAsia="仿宋" w:cs="仿宋"/>
          <w:spacing w:val="12"/>
          <w:sz w:val="29"/>
          <w:szCs w:val="29"/>
        </w:rPr>
        <w:t>工作，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保证原有生活水平不降低，长远生计有保障，维护社会稳定</w:t>
      </w:r>
      <w:r>
        <w:rPr>
          <w:rFonts w:ascii="仿宋" w:hAnsi="仿宋" w:eastAsia="仿宋" w:cs="仿宋"/>
          <w:spacing w:val="14"/>
          <w:sz w:val="29"/>
          <w:szCs w:val="29"/>
        </w:rPr>
        <w:t>。征地</w:t>
      </w:r>
    </w:p>
    <w:p>
      <w:pPr>
        <w:spacing w:before="1" w:line="220" w:lineRule="auto"/>
        <w:ind w:left="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补偿安置不落实的，不得强行使用被征土地。</w:t>
      </w:r>
    </w:p>
    <w:p>
      <w:pPr>
        <w:spacing w:before="271" w:line="382" w:lineRule="auto"/>
        <w:ind w:left="45" w:right="31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四</w:t>
      </w:r>
      <w:r>
        <w:rPr>
          <w:rFonts w:ascii="仿宋" w:hAnsi="仿宋" w:eastAsia="仿宋" w:cs="仿宋"/>
          <w:spacing w:val="-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、南江县人民政府应按要求做好地质灾害危险性评估工作。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在对具体建设项目供地时，要严格按照土地用途、相关</w:t>
      </w:r>
      <w:r>
        <w:rPr>
          <w:rFonts w:ascii="仿宋" w:hAnsi="仿宋" w:eastAsia="仿宋" w:cs="仿宋"/>
          <w:spacing w:val="13"/>
          <w:sz w:val="29"/>
          <w:szCs w:val="29"/>
        </w:rPr>
        <w:t>政策法规及</w:t>
      </w:r>
    </w:p>
    <w:p>
      <w:pPr>
        <w:spacing w:line="220" w:lineRule="auto"/>
        <w:ind w:left="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规定的程序和权限审批供地方案并报自然资源厅备案。</w:t>
      </w:r>
    </w:p>
    <w:p>
      <w:pPr>
        <w:spacing w:before="258" w:line="222" w:lineRule="auto"/>
        <w:ind w:left="6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五、</w:t>
      </w:r>
      <w:r>
        <w:rPr>
          <w:rFonts w:ascii="仿宋" w:hAnsi="仿宋" w:eastAsia="仿宋" w:cs="仿宋"/>
          <w:spacing w:val="-8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本批文自批准之日起满两年未实施的自动失</w:t>
      </w:r>
      <w:r>
        <w:rPr>
          <w:rFonts w:ascii="仿宋" w:hAnsi="仿宋" w:eastAsia="仿宋" w:cs="仿宋"/>
          <w:spacing w:val="3"/>
          <w:sz w:val="29"/>
          <w:szCs w:val="29"/>
        </w:rPr>
        <w:t>效。</w:t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before="95" w:line="222" w:lineRule="auto"/>
        <w:ind w:left="6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附件：南江县2022年第4批次建设用地征地情况明细表</w:t>
      </w:r>
    </w:p>
    <w:p>
      <w:pPr>
        <w:spacing w:line="268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460" w:lineRule="exact"/>
        <w:ind w:firstLine="5485"/>
        <w:textAlignment w:val="center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94" w:line="222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信息公开选项：主动公开</w:t>
      </w:r>
    </w:p>
    <w:p>
      <w:pPr>
        <w:spacing w:before="155" w:line="261" w:lineRule="auto"/>
        <w:ind w:left="1134" w:right="247" w:hanging="8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抄送：国家自然资源督察成都局，省发展改革委，公安厅，民政厅，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财政厅，人力资源社会保障厅，自然资源厅，四川省税务局</w:t>
      </w:r>
      <w:r>
        <w:rPr>
          <w:rFonts w:ascii="仿宋" w:hAnsi="仿宋" w:eastAsia="仿宋" w:cs="仿宋"/>
          <w:spacing w:val="-13"/>
          <w:sz w:val="29"/>
          <w:szCs w:val="29"/>
        </w:rPr>
        <w:t>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巴中市人民政府。</w:t>
      </w:r>
    </w:p>
    <w:p>
      <w:pPr>
        <w:sectPr>
          <w:headerReference r:id="rId3" w:type="default"/>
          <w:pgSz w:w="11820" w:h="16680"/>
          <w:pgMar w:top="400" w:right="1457" w:bottom="0" w:left="1474" w:header="0" w:footer="0" w:gutter="0"/>
          <w:cols w:space="720" w:num="1"/>
        </w:sectPr>
      </w:pPr>
    </w:p>
    <w:p>
      <w:pPr>
        <w:spacing w:line="254" w:lineRule="auto"/>
      </w:pPr>
    </w:p>
    <w:p>
      <w:pPr>
        <w:spacing w:line="255" w:lineRule="auto"/>
      </w:pPr>
    </w:p>
    <w:p>
      <w:pPr>
        <w:spacing w:before="111" w:line="224" w:lineRule="auto"/>
        <w:ind w:left="8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附件</w:t>
      </w:r>
    </w:p>
    <w:p>
      <w:pPr>
        <w:spacing w:before="193" w:line="219" w:lineRule="auto"/>
        <w:ind w:left="35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51"/>
          <w:sz w:val="34"/>
          <w:szCs w:val="34"/>
        </w:rPr>
        <w:t>南江县2022年第4批次建设用地征地情况明细表</w:t>
      </w:r>
    </w:p>
    <w:p>
      <w:pPr>
        <w:spacing w:line="268" w:lineRule="auto"/>
      </w:pPr>
    </w:p>
    <w:p>
      <w:pPr>
        <w:spacing w:before="78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单位：公顷</w:t>
      </w:r>
    </w:p>
    <w:p>
      <w:pPr>
        <w:spacing w:line="68" w:lineRule="exact"/>
      </w:pPr>
    </w:p>
    <w:tbl>
      <w:tblPr>
        <w:tblStyle w:val="6"/>
        <w:tblW w:w="15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369"/>
        <w:gridCol w:w="1379"/>
        <w:gridCol w:w="1389"/>
        <w:gridCol w:w="1379"/>
        <w:gridCol w:w="1379"/>
        <w:gridCol w:w="1379"/>
        <w:gridCol w:w="1379"/>
        <w:gridCol w:w="1389"/>
        <w:gridCol w:w="1379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122" w:type="dxa"/>
            <w:gridSpan w:val="3"/>
          </w:tcPr>
          <w:p>
            <w:pPr>
              <w:spacing w:before="214" w:line="219" w:lineRule="auto"/>
              <w:ind w:left="1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被征地单位名称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spacing w:before="75" w:line="220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总面积</w:t>
            </w:r>
          </w:p>
        </w:tc>
        <w:tc>
          <w:tcPr>
            <w:tcW w:w="6905" w:type="dxa"/>
            <w:gridSpan w:val="5"/>
          </w:tcPr>
          <w:p>
            <w:pPr>
              <w:spacing w:before="215" w:line="221" w:lineRule="auto"/>
              <w:ind w:left="3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农用地</w:t>
            </w:r>
          </w:p>
        </w:tc>
        <w:tc>
          <w:tcPr>
            <w:tcW w:w="1379" w:type="dxa"/>
            <w:vMerge w:val="restart"/>
            <w:tcBorders>
              <w:bottom w:val="nil"/>
            </w:tcBorders>
          </w:tcPr>
          <w:p>
            <w:pPr>
              <w:spacing w:line="458" w:lineRule="auto"/>
            </w:pPr>
          </w:p>
          <w:p>
            <w:pPr>
              <w:spacing w:before="74" w:line="221" w:lineRule="auto"/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建设用地</w:t>
            </w:r>
          </w:p>
        </w:tc>
        <w:tc>
          <w:tcPr>
            <w:tcW w:w="1394" w:type="dxa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spacing w:before="75" w:line="220" w:lineRule="auto"/>
              <w:ind w:left="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未利用地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4" w:type="dxa"/>
          </w:tcPr>
          <w:p>
            <w:pPr>
              <w:spacing w:before="211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街道</w:t>
            </w:r>
          </w:p>
        </w:tc>
        <w:tc>
          <w:tcPr>
            <w:tcW w:w="1369" w:type="dxa"/>
          </w:tcPr>
          <w:p>
            <w:pPr>
              <w:spacing w:before="211" w:line="219" w:lineRule="auto"/>
              <w:ind w:left="4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社区</w:t>
            </w:r>
          </w:p>
        </w:tc>
        <w:tc>
          <w:tcPr>
            <w:tcW w:w="1379" w:type="dxa"/>
          </w:tcPr>
          <w:p>
            <w:pPr>
              <w:spacing w:before="211" w:line="219" w:lineRule="auto"/>
              <w:ind w:left="5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社</w:t>
            </w:r>
          </w:p>
        </w:tc>
        <w:tc>
          <w:tcPr>
            <w:tcW w:w="1389" w:type="dxa"/>
            <w:vMerge w:val="continue"/>
            <w:tcBorders>
              <w:top w:val="nil"/>
            </w:tcBorders>
          </w:tcPr>
          <w:p/>
        </w:tc>
        <w:tc>
          <w:tcPr>
            <w:tcW w:w="1379" w:type="dxa"/>
          </w:tcPr>
          <w:p>
            <w:pPr>
              <w:spacing w:before="212" w:line="221" w:lineRule="auto"/>
              <w:ind w:left="4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小计</w:t>
            </w:r>
          </w:p>
        </w:tc>
        <w:tc>
          <w:tcPr>
            <w:tcW w:w="1379" w:type="dxa"/>
          </w:tcPr>
          <w:p>
            <w:pPr>
              <w:spacing w:before="210" w:line="219" w:lineRule="auto"/>
              <w:ind w:left="4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耕地</w:t>
            </w:r>
          </w:p>
        </w:tc>
        <w:tc>
          <w:tcPr>
            <w:tcW w:w="1379" w:type="dxa"/>
          </w:tcPr>
          <w:p>
            <w:pPr>
              <w:spacing w:before="212" w:line="221" w:lineRule="auto"/>
              <w:ind w:left="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园地</w:t>
            </w:r>
          </w:p>
        </w:tc>
        <w:tc>
          <w:tcPr>
            <w:tcW w:w="1379" w:type="dxa"/>
          </w:tcPr>
          <w:p>
            <w:pPr>
              <w:spacing w:before="211" w:line="219" w:lineRule="auto"/>
              <w:ind w:left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林地</w:t>
            </w:r>
          </w:p>
        </w:tc>
        <w:tc>
          <w:tcPr>
            <w:tcW w:w="1389" w:type="dxa"/>
          </w:tcPr>
          <w:p>
            <w:pPr>
              <w:spacing w:before="212" w:line="220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其他农用地</w:t>
            </w:r>
          </w:p>
        </w:tc>
        <w:tc>
          <w:tcPr>
            <w:tcW w:w="1379" w:type="dxa"/>
            <w:vMerge w:val="continue"/>
            <w:tcBorders>
              <w:top w:val="nil"/>
            </w:tcBorders>
          </w:tcPr>
          <w:p/>
        </w:tc>
        <w:tc>
          <w:tcPr>
            <w:tcW w:w="139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4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spacing w:before="75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集州</w:t>
            </w:r>
          </w:p>
        </w:tc>
        <w:tc>
          <w:tcPr>
            <w:tcW w:w="1369" w:type="dxa"/>
            <w:vMerge w:val="restart"/>
            <w:tcBorders>
              <w:bottom w:val="nil"/>
            </w:tcBorders>
          </w:tcPr>
          <w:p>
            <w:pPr>
              <w:spacing w:line="468" w:lineRule="auto"/>
            </w:pPr>
          </w:p>
          <w:p>
            <w:pPr>
              <w:spacing w:before="75" w:line="221" w:lineRule="auto"/>
              <w:ind w:left="4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跃进</w:t>
            </w:r>
          </w:p>
        </w:tc>
        <w:tc>
          <w:tcPr>
            <w:tcW w:w="1379" w:type="dxa"/>
          </w:tcPr>
          <w:p>
            <w:pPr>
              <w:spacing w:before="271" w:line="184" w:lineRule="auto"/>
              <w:ind w:left="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389" w:type="dxa"/>
          </w:tcPr>
          <w:p>
            <w:pPr>
              <w:spacing w:before="271" w:line="184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0.7714</w:t>
            </w:r>
          </w:p>
        </w:tc>
        <w:tc>
          <w:tcPr>
            <w:tcW w:w="1379" w:type="dxa"/>
          </w:tcPr>
          <w:p>
            <w:pPr>
              <w:spacing w:before="272" w:line="183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0.7628</w:t>
            </w:r>
          </w:p>
        </w:tc>
        <w:tc>
          <w:tcPr>
            <w:tcW w:w="1379" w:type="dxa"/>
          </w:tcPr>
          <w:p>
            <w:pPr>
              <w:spacing w:before="272" w:line="183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0.4760</w:t>
            </w:r>
          </w:p>
        </w:tc>
        <w:tc>
          <w:tcPr>
            <w:tcW w:w="1379" w:type="dxa"/>
          </w:tcPr>
          <w:p>
            <w:pPr>
              <w:spacing w:before="271" w:line="184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0.1975</w:t>
            </w:r>
          </w:p>
        </w:tc>
        <w:tc>
          <w:tcPr>
            <w:tcW w:w="1379" w:type="dxa"/>
          </w:tcPr>
          <w:p/>
        </w:tc>
        <w:tc>
          <w:tcPr>
            <w:tcW w:w="1389" w:type="dxa"/>
          </w:tcPr>
          <w:p>
            <w:pPr>
              <w:spacing w:before="272" w:line="183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0.0893</w:t>
            </w:r>
          </w:p>
        </w:tc>
        <w:tc>
          <w:tcPr>
            <w:tcW w:w="1379" w:type="dxa"/>
          </w:tcPr>
          <w:p>
            <w:pPr>
              <w:spacing w:before="272" w:line="183" w:lineRule="auto"/>
              <w:ind w:left="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0.0086</w:t>
            </w:r>
          </w:p>
        </w:tc>
        <w:tc>
          <w:tcPr>
            <w:tcW w:w="139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74" w:type="dxa"/>
            <w:vMerge w:val="continue"/>
            <w:tcBorders>
              <w:top w:val="nil"/>
            </w:tcBorders>
          </w:tcPr>
          <w:p/>
        </w:tc>
        <w:tc>
          <w:tcPr>
            <w:tcW w:w="1369" w:type="dxa"/>
            <w:vMerge w:val="continue"/>
            <w:tcBorders>
              <w:top w:val="nil"/>
            </w:tcBorders>
          </w:tcPr>
          <w:p/>
        </w:tc>
        <w:tc>
          <w:tcPr>
            <w:tcW w:w="1379" w:type="dxa"/>
          </w:tcPr>
          <w:p>
            <w:pPr>
              <w:spacing w:before="274" w:line="183" w:lineRule="auto"/>
              <w:ind w:left="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389" w:type="dxa"/>
          </w:tcPr>
          <w:p>
            <w:pPr>
              <w:spacing w:before="274" w:line="183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7.4802</w:t>
            </w:r>
          </w:p>
        </w:tc>
        <w:tc>
          <w:tcPr>
            <w:tcW w:w="1379" w:type="dxa"/>
          </w:tcPr>
          <w:p>
            <w:pPr>
              <w:spacing w:before="274" w:line="183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6.7302</w:t>
            </w:r>
          </w:p>
        </w:tc>
        <w:tc>
          <w:tcPr>
            <w:tcW w:w="1379" w:type="dxa"/>
          </w:tcPr>
          <w:p>
            <w:pPr>
              <w:spacing w:before="273" w:line="184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4.1520</w:t>
            </w:r>
          </w:p>
        </w:tc>
        <w:tc>
          <w:tcPr>
            <w:tcW w:w="1379" w:type="dxa"/>
          </w:tcPr>
          <w:p>
            <w:pPr>
              <w:spacing w:before="273" w:line="184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1.4409</w:t>
            </w:r>
          </w:p>
        </w:tc>
        <w:tc>
          <w:tcPr>
            <w:tcW w:w="1379" w:type="dxa"/>
          </w:tcPr>
          <w:p>
            <w:pPr>
              <w:spacing w:before="273" w:line="184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0.5178</w:t>
            </w:r>
          </w:p>
        </w:tc>
        <w:tc>
          <w:tcPr>
            <w:tcW w:w="1389" w:type="dxa"/>
          </w:tcPr>
          <w:p>
            <w:pPr>
              <w:spacing w:before="273" w:line="184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0.6195</w:t>
            </w:r>
          </w:p>
        </w:tc>
        <w:tc>
          <w:tcPr>
            <w:tcW w:w="1379" w:type="dxa"/>
          </w:tcPr>
          <w:p>
            <w:pPr>
              <w:spacing w:before="274" w:line="183" w:lineRule="auto"/>
              <w:ind w:left="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0.7500</w:t>
            </w:r>
          </w:p>
        </w:tc>
        <w:tc>
          <w:tcPr>
            <w:tcW w:w="139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122" w:type="dxa"/>
            <w:gridSpan w:val="3"/>
          </w:tcPr>
          <w:p>
            <w:pPr>
              <w:spacing w:before="218" w:line="221" w:lineRule="auto"/>
              <w:ind w:left="18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389" w:type="dxa"/>
          </w:tcPr>
          <w:p>
            <w:pPr>
              <w:spacing w:before="275" w:line="184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8.2516</w:t>
            </w:r>
          </w:p>
        </w:tc>
        <w:tc>
          <w:tcPr>
            <w:tcW w:w="1379" w:type="dxa"/>
          </w:tcPr>
          <w:p>
            <w:pPr>
              <w:spacing w:before="276" w:line="183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7.4930</w:t>
            </w:r>
          </w:p>
        </w:tc>
        <w:tc>
          <w:tcPr>
            <w:tcW w:w="1379" w:type="dxa"/>
          </w:tcPr>
          <w:p>
            <w:pPr>
              <w:spacing w:before="276" w:line="183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4.6280</w:t>
            </w:r>
          </w:p>
        </w:tc>
        <w:tc>
          <w:tcPr>
            <w:tcW w:w="1379" w:type="dxa"/>
          </w:tcPr>
          <w:p>
            <w:pPr>
              <w:spacing w:before="275" w:line="184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1.6384</w:t>
            </w:r>
          </w:p>
        </w:tc>
        <w:tc>
          <w:tcPr>
            <w:tcW w:w="1379" w:type="dxa"/>
          </w:tcPr>
          <w:p>
            <w:pPr>
              <w:spacing w:before="275" w:line="184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0.5178</w:t>
            </w:r>
          </w:p>
        </w:tc>
        <w:tc>
          <w:tcPr>
            <w:tcW w:w="1389" w:type="dxa"/>
          </w:tcPr>
          <w:p>
            <w:pPr>
              <w:spacing w:before="276" w:line="183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0.7088</w:t>
            </w:r>
          </w:p>
        </w:tc>
        <w:tc>
          <w:tcPr>
            <w:tcW w:w="1379" w:type="dxa"/>
          </w:tcPr>
          <w:p>
            <w:pPr>
              <w:spacing w:before="276" w:line="183" w:lineRule="auto"/>
              <w:ind w:left="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0.7586</w:t>
            </w:r>
          </w:p>
        </w:tc>
        <w:tc>
          <w:tcPr>
            <w:tcW w:w="1394" w:type="dxa"/>
          </w:tcPr>
          <w:p/>
        </w:tc>
      </w:tr>
    </w:tbl>
    <w:p/>
    <w:sectPr>
      <w:headerReference r:id="rId4" w:type="default"/>
      <w:pgSz w:w="16720" w:h="11820"/>
      <w:pgMar w:top="400" w:right="665" w:bottom="0" w:left="77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pict>
        <v:shape id="_x0000_s2049" o:spid="_x0000_s2049" o:spt="202" type="#_x0000_t202" style="position:absolute;left:0pt;margin-left:350pt;margin-top:443pt;height:48pt;width:115.85pt;mso-position-horizontal-relative:page;mso-position-vertical-relative:page;z-index:-251658240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 w:line="222" w:lineRule="auto"/>
                  <w:ind w:left="100"/>
                  <w:rPr>
                    <w:rFonts w:ascii="仿宋" w:hAnsi="仿宋" w:eastAsia="仿宋" w:cs="仿宋"/>
                    <w:sz w:val="29"/>
                    <w:szCs w:val="29"/>
                  </w:rPr>
                </w:pPr>
                <w:r>
                  <w:rPr>
                    <w:rFonts w:ascii="仿宋" w:hAnsi="仿宋" w:eastAsia="仿宋" w:cs="仿宋"/>
                    <w:spacing w:val="7"/>
                    <w:sz w:val="29"/>
                    <w:szCs w:val="29"/>
                  </w:rPr>
                  <w:t>四川省人民政府</w:t>
                </w:r>
              </w:p>
              <w:p>
                <w:pPr>
                  <w:spacing w:before="221" w:line="222" w:lineRule="auto"/>
                  <w:ind w:left="20"/>
                  <w:rPr>
                    <w:rFonts w:ascii="仿宋" w:hAnsi="仿宋" w:eastAsia="仿宋" w:cs="仿宋"/>
                    <w:sz w:val="29"/>
                    <w:szCs w:val="29"/>
                  </w:rPr>
                </w:pPr>
                <w:r>
                  <w:rPr>
                    <w:rFonts w:ascii="仿宋" w:hAnsi="仿宋" w:eastAsia="仿宋" w:cs="仿宋"/>
                    <w:spacing w:val="39"/>
                    <w:sz w:val="29"/>
                    <w:szCs w:val="29"/>
                  </w:rPr>
                  <w:t>2023年4月23日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F3572C"/>
    <w:rsid w:val="004E26B7"/>
    <w:rsid w:val="00F3572C"/>
    <w:rsid w:val="00FA7D5A"/>
    <w:rsid w:val="109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878</Characters>
  <Lines>7</Lines>
  <Paragraphs>2</Paragraphs>
  <TotalTime>0</TotalTime>
  <ScaleCrop>false</ScaleCrop>
  <LinksUpToDate>false</LinksUpToDate>
  <CharactersWithSpaces>1030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2023-06-08T15:01:00Z</dcterms:created>
  <dc:creator>Kingsoft-PDF</dc:creator>
  <cp:lastModifiedBy>Administrator</cp:lastModifiedBy>
  <dcterms:modified xsi:type="dcterms:W3CDTF">2023-06-08T07:12:40Z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2023-06-08T15:01:16Z</vt:filetime>
  </property>
  <property fmtid="{D5CDD505-2E9C-101B-9397-08002B2CF9AE}" pid="4" name="UsrData">
    <vt:lpwstr>64817cb8055031001fcd4b49wl</vt:lpwstr>
  </property>
  <property fmtid="{D5CDD505-2E9C-101B-9397-08002B2CF9AE}" pid="5" name="KSOProductBuildVer">
    <vt:lpwstr>2052-11.8.2.8411</vt:lpwstr>
  </property>
</Properties>
</file>