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jc w:val="both"/>
        <w:rPr>
          <w:rFonts w:hint="eastAsia" w:ascii="仿宋_GB2312" w:hAnsi="仿宋_GB2312" w:eastAsia="仿宋_GB2312" w:cs="仿宋_GB2312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</w:rPr>
        <w:t>附件2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：</w:t>
      </w:r>
    </w:p>
    <w:p>
      <w:pPr>
        <w:pStyle w:val="6"/>
        <w:jc w:val="both"/>
        <w:rPr>
          <w:rFonts w:hint="default" w:ascii="Times New Roman" w:hAnsi="Times New Roman" w:eastAsia="方正黑体_GBK" w:cs="Times New Roman"/>
          <w:sz w:val="32"/>
        </w:rPr>
      </w:pPr>
    </w:p>
    <w:p>
      <w:pPr>
        <w:pStyle w:val="6"/>
        <w:rPr>
          <w:rFonts w:hint="default" w:ascii="Times New Roman" w:hAnsi="Times New Roman" w:eastAsia="方正小标宋_GBK" w:cs="Times New Roman"/>
        </w:rPr>
      </w:pPr>
      <w:bookmarkStart w:id="0" w:name="_GoBack"/>
      <w:r>
        <w:rPr>
          <w:rFonts w:hint="default" w:ascii="Times New Roman" w:hAnsi="Times New Roman" w:eastAsia="方正小标宋_GBK" w:cs="Times New Roman"/>
        </w:rPr>
        <w:t>八类消防安全重大风险隐患</w:t>
      </w:r>
    </w:p>
    <w:bookmarkEnd w:id="0"/>
    <w:p>
      <w:pPr>
        <w:pStyle w:val="6"/>
        <w:rPr>
          <w:rFonts w:hint="default" w:ascii="Times New Roman" w:hAnsi="Times New Roman" w:cs="Times New Roman"/>
        </w:rPr>
      </w:pP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一、火源管理。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违规使用明火，动火施工无审批；营业或使用期间，违规动火动焊作业；施工期间未落实现场看护人员，未提前清理可燃杂物和落实安全防护措施；违规存放、使用易燃易爆危险品；混合生产经营场所中各单位动火施工不报告、不审批，不告知其他单位。</w:t>
      </w:r>
    </w:p>
    <w:p>
      <w:pPr>
        <w:pStyle w:val="7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二、电源管理。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配电箱（柜）电线连接不规范；违章带负荷拉、合闸；电线电缆未穿管保护，直接穿越易燃可燃材料，开关、插座直接安装在易燃可燃材料上；照明灯具与可燃物未保持可靠安全距离，未采取隔热、散热等措施；违规使用未经产品质量认证的大功率电器或移动插排；电动自行车（蓄电池）违规在室内停放或充电；电化学储能电站设置在人员密集场所内；医院、养老院的制氧站、氧气瓶间违规使用非防爆电器设备，使用锂离子电池的医疗设备、轮椅未在指定安全区域充电。</w:t>
      </w:r>
    </w:p>
    <w:p>
      <w:pPr>
        <w:pStyle w:val="7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三、易燃可燃保温材料和装饰装修。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员密集场所室内保温材料燃烧性能不符合要求；违规使用聚丙烯、聚乙烯、聚氨酯、聚苯乙烯等材质的易燃可燃材料尤其是塑料绿植，进行装饰装修；违章搭建易燃可燃材料夹芯彩钢板建筑；混合生产经营场所违规储存、使用易燃易爆危险品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四、安全疏散条件。</w:t>
      </w:r>
      <w:r>
        <w:rPr>
          <w:rFonts w:hint="eastAsia" w:ascii="仿宋_GB2312" w:hAnsi="仿宋_GB2312" w:eastAsia="仿宋_GB2312" w:cs="仿宋_GB2312"/>
          <w:sz w:val="32"/>
          <w:szCs w:val="32"/>
        </w:rPr>
        <w:t>疏散楼梯数量不足或设置不符合要求；占用、堵塞、封闭疏散通道、安全出口；在人员密集场所的门窗上设置影响逃生和灭火救援的障碍物；消防应急广播、消防应急照明、疏散指示标志未保持完好有效；医院、养老院未将失能和行动不便患者安排在建筑较低楼层，在通道、楼梯间增加床位，影响人员疏散；混合生产经营场所不同独立单位间的分隔占用疏散通道、锁闭安全出口，不能保证各自独立的疏散楼梯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五、防火分隔。</w:t>
      </w:r>
      <w:r>
        <w:rPr>
          <w:rFonts w:hint="eastAsia" w:ascii="仿宋_GB2312" w:hAnsi="仿宋_GB2312" w:eastAsia="仿宋_GB2312" w:cs="仿宋_GB2312"/>
          <w:sz w:val="32"/>
          <w:szCs w:val="32"/>
        </w:rPr>
        <w:t>未按要求设置防火分区；防火门、防火卷帘、防火墙等损坏严重，不具备防火分隔功能；电缆井、管道井等防火封堵不严密；混合生产经营场所内违规设置员工宿舍。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六、消防设施设备。</w:t>
      </w:r>
      <w:r>
        <w:rPr>
          <w:rFonts w:hint="eastAsia" w:ascii="仿宋_GB2312" w:hAnsi="仿宋_GB2312" w:eastAsia="仿宋_GB2312" w:cs="仿宋_GB2312"/>
          <w:sz w:val="32"/>
          <w:szCs w:val="32"/>
        </w:rPr>
        <w:t>未按要求设置室内消火栓系统，或水压、水量不能满足灭火需求；未按要求设置火灾自动报警、自动喷水灭火、气体灭火、防排烟等设施，或消防设施系统损坏瘫痪无法正常使用，不具备防灭火功能。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七、管理责任落实。</w:t>
      </w:r>
      <w:r>
        <w:rPr>
          <w:rFonts w:hint="eastAsia" w:ascii="仿宋_GB2312" w:hAnsi="仿宋_GB2312" w:eastAsia="仿宋_GB2312" w:cs="仿宋_GB2312"/>
          <w:sz w:val="32"/>
          <w:szCs w:val="32"/>
        </w:rPr>
        <w:t>未严格落实动火施工审批制度、夜间值班制度；未落实全员消防培训、疏散演练；消防控制室人员、电工、电焊工等特种作业人员未持证上岗，不掌握消防安全操作规程；保安、护工、宿管员等不熟悉安全出口，不具备组织逃生自救能力；医院、养老院夜间无人值守或值班人员不具备组织人员疏散能力；混合生产经营场所未明确统一管理单位，各单位之间消防安全责任不明晰，没有物业管理单位或明确牵头单位，对共用的疏散通道、安全出口、建筑消防设施等缺乏管理；擅自改变场所火灾危险性定性，如丁戊类厂房用作丙类生产储存、丙类厂房用作甲乙类生产储存，增大火灾危险性。</w:t>
      </w:r>
    </w:p>
    <w:p>
      <w:pPr>
        <w:pStyle w:val="2"/>
        <w:spacing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八、初期火灾处置。</w:t>
      </w:r>
      <w:r>
        <w:rPr>
          <w:rFonts w:hint="eastAsia" w:ascii="仿宋_GB2312" w:hAnsi="仿宋_GB2312" w:eastAsia="仿宋_GB2312" w:cs="仿宋_GB2312"/>
          <w:sz w:val="32"/>
          <w:szCs w:val="32"/>
        </w:rPr>
        <w:t>未按要求建立微型消防站或明确初期火灾扑救力量；未结合本单位实际制定可操作的灭火和应急疏散预案；混合生产经营场所未建立消防联勤联动机制，发生火灾等紧急状况时无人员第一时间通知并组织疏散。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Sim Hei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yMmJjY2RmNWY5Y2M1NDJiMTVhN2Y4ZGNhNjBlY2YifQ=="/>
  </w:docVars>
  <w:rsids>
    <w:rsidRoot w:val="37ED2D48"/>
    <w:rsid w:val="04687A75"/>
    <w:rsid w:val="07EE1AE1"/>
    <w:rsid w:val="09306778"/>
    <w:rsid w:val="10DB6389"/>
    <w:rsid w:val="15CD471D"/>
    <w:rsid w:val="37ED2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200" w:leftChars="200"/>
    </w:pPr>
    <w:rPr>
      <w:rFonts w:ascii="Times New Roman" w:hAnsi="Times New Roman" w:eastAsia="宋体" w:cs="Times New Roman"/>
    </w:r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customStyle="1" w:styleId="6">
    <w:name w:val="00公文标题"/>
    <w:basedOn w:val="1"/>
    <w:qFormat/>
    <w:uiPriority w:val="0"/>
    <w:pPr>
      <w:snapToGrid w:val="0"/>
      <w:spacing w:line="600" w:lineRule="exact"/>
      <w:jc w:val="center"/>
    </w:pPr>
    <w:rPr>
      <w:rFonts w:ascii="方正小标宋_GBK" w:hAnsi="宋体" w:eastAsia="方正小标宋_GBK" w:cs="宋体"/>
      <w:sz w:val="44"/>
      <w:szCs w:val="44"/>
    </w:rPr>
  </w:style>
  <w:style w:type="paragraph" w:customStyle="1" w:styleId="7">
    <w:name w:val="Default"/>
    <w:basedOn w:val="8"/>
    <w:next w:val="1"/>
    <w:qFormat/>
    <w:uiPriority w:val="0"/>
    <w:pPr>
      <w:widowControl w:val="0"/>
      <w:autoSpaceDE w:val="0"/>
      <w:autoSpaceDN w:val="0"/>
      <w:adjustRightInd w:val="0"/>
    </w:pPr>
    <w:rPr>
      <w:rFonts w:ascii="Sim Hei" w:hAnsi="Times New Roman" w:eastAsia="Sim Hei" w:cs="Sim Hei"/>
      <w:color w:val="000000"/>
      <w:sz w:val="24"/>
      <w:szCs w:val="24"/>
      <w:lang w:val="en-US" w:eastAsia="zh-CN" w:bidi="ar-SA"/>
    </w:rPr>
  </w:style>
  <w:style w:type="paragraph" w:customStyle="1" w:styleId="8">
    <w:name w:val="正文1"/>
    <w:qFormat/>
    <w:uiPriority w:val="0"/>
    <w:pPr>
      <w:jc w:val="both"/>
    </w:pPr>
    <w:rPr>
      <w:rFonts w:ascii="Calibri" w:hAnsi="Calibri" w:eastAsia="宋体" w:cs="Times New Roman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2023-06-14T03:52:00Z</dcterms:created>
  <dc:creator>Admin</dc:creator>
  <cp:lastModifiedBy>Admin</cp:lastModifiedBy>
  <dcterms:modified xsi:type="dcterms:W3CDTF">2023-06-14T03:53:37Z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F368B807215C44B3ABBFE40A71721B08_11</vt:lpwstr>
  </property>
</Properties>
</file>