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tbl>
      <w:tblPr>
        <w:tblpPr w:leftFromText="180" w:rightFromText="180" w:vertAnchor="text" w:horzAnchor="page" w:tblpX="1674" w:tblpY="22"/>
        <w:tblOverlap w:val="never"/>
        <w:tblW w:w="9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733"/>
        <w:gridCol w:w="940"/>
        <w:gridCol w:w="456"/>
        <w:gridCol w:w="124"/>
        <w:gridCol w:w="2319"/>
        <w:gridCol w:w="250"/>
        <w:gridCol w:w="649"/>
        <w:gridCol w:w="2328"/>
        <w:gridCol w:w="510"/>
        <w:gridCol w:w="198"/>
        <w:gridCol w:w="38"/>
      </w:tblGrid>
      <w:tr>
        <w:trPr>
          <w:trHeight w:val="300"/>
        </w:trPr>
        <w:tc>
          <w:tcPr>
            <w:tcW w:w="24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黑体"/>
                <w:bCs/>
                <w:color w:val="000000"/>
                <w:sz w:val="32"/>
                <w:szCs w:val="32"/>
              </w:rPr>
            </w:pPr>
            <w:r>
              <w:rPr>
                <w:rFonts w:eastAsia="黑体"/>
                <w:bCs/>
                <w:color w:val="000000"/>
                <w:sz w:val="32"/>
                <w:szCs w:val="32"/>
              </w:rPr>
              <w:t>附件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373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color w:val="000000"/>
                <w:sz w:val="22"/>
              </w:rPr>
            </w:pPr>
          </w:p>
        </w:tc>
      </w:tr>
      <w:tr>
        <w:trPr>
          <w:trHeight w:val="450"/>
          <w:gridAfter w:val="3"/>
          <w:wAfter w:w="746" w:type="dxa"/>
        </w:trPr>
        <w:tc>
          <w:tcPr>
            <w:tcW w:w="854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黑体"/>
                <w:color w:val="000000"/>
                <w:sz w:val="36"/>
                <w:szCs w:val="36"/>
              </w:rPr>
            </w:pPr>
            <w:r>
              <w:rPr>
                <w:rFonts w:eastAsia="黑体"/>
                <w:color w:val="000000"/>
                <w:sz w:val="36"/>
                <w:szCs w:val="36"/>
              </w:rPr>
              <w:t>202</w:t>
            </w:r>
            <w:r>
              <w:rPr>
                <w:rFonts w:eastAsia="黑体" w:hint="eastAsia"/>
                <w:color w:val="000000"/>
                <w:sz w:val="36"/>
                <w:szCs w:val="36"/>
                <w:lang w:val="en-US" w:eastAsia="zh-CN"/>
              </w:rPr>
              <w:t>4</w:t>
            </w:r>
            <w:r>
              <w:rPr>
                <w:rFonts w:eastAsia="黑体"/>
                <w:color w:val="000000"/>
                <w:sz w:val="36"/>
                <w:szCs w:val="36"/>
              </w:rPr>
              <w:t>年</w:t>
            </w:r>
            <w:r>
              <w:rPr>
                <w:rFonts w:eastAsia="黑体" w:hint="eastAsia"/>
                <w:color w:val="000000"/>
                <w:sz w:val="36"/>
                <w:szCs w:val="36"/>
                <w:lang w:val="en-US" w:eastAsia="zh-CN"/>
              </w:rPr>
              <w:t>县</w:t>
            </w:r>
            <w:r>
              <w:rPr>
                <w:rFonts w:eastAsia="黑体"/>
                <w:color w:val="000000"/>
                <w:sz w:val="36"/>
                <w:szCs w:val="36"/>
              </w:rPr>
              <w:t>级部门整体支出绩效评价指标体系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一级指标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二级指标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三级指标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分值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评价内容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评价标准及计算方法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</w:tr>
      <w:tr>
        <w:trPr>
          <w:trHeight w:val="285"/>
          <w:gridAfter w:val="1"/>
          <w:wAfter w:w="38" w:type="dxa"/>
        </w:trPr>
        <w:tc>
          <w:tcPr>
            <w:tcW w:w="854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评价得分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180"/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eastAsia="方正仿宋简体"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100</w:t>
            </w:r>
            <w:r>
              <w:rPr>
                <w:rFonts w:eastAsia="方正仿宋简体"/>
                <w:b/>
                <w:bCs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基础工作管理（15分）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组织机构完善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岗位设置合理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成立各种相应的组织机构及机构合理性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成立相应组织机构、内控岗位设置合理得2分，组织机构不健全、内控岗位设置不合理相应扣分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内控制度建立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包括制定财政资金管理办法、内控制度，会计核算制度等管理制度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管理制度完善2分，制度不够完善相应扣分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部门制定的管理制度合法、合规、完整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制度合法、合规、完整2分，反之相应扣分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内控制度执行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部门制定的内控制度得到有效执行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有效执行2分，未能有效执行相应扣分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指标体系完善程度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部门制定的项目预算支出评价个性指标体系健全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个性指标体系健全2分，指标体系不够健全相应扣分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宣传培训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部门对绩效评价工作开展的宣传培训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开展了宣传培训1分，未能开展宣传培训相应扣分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会计核算及时，日清月结的得1分，核算不及时的相应扣分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会计核算规范、科目使用准确、原始发票及附件充分、分项目核算的得2分，否则相应扣分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会计档案规范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会计档案整理规范的得1分，不规范的相应扣分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绩效目标管理（10分）</w:t>
            </w:r>
          </w:p>
        </w:tc>
        <w:tc>
          <w:tcPr>
            <w:tcW w:w="7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绩效目标合理性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绩效目标管理符合国家法律法规、国民经济和社会发展总体规划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绩效目标符合相关法规和总体规划1分，绩效目标不够合理的相应扣分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与工作衔接度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绩效目标符合部门“三定”方案确定的职责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绩效目标符合部分“三定”方案1分，不符合相应扣分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与中长期规划衔接度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绩效目标符合部门制定的中长期规划1分，不符合相应扣分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部门绩效目标覆盖率达到年度预算布置的要求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绩效目标覆盖率＝实际申报绩效目标项目资金额/部门项目预算资金总额×100%。每低于10个百分点扣1分，扣完为止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4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绩效指标明确性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绩效指标完整性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绩效目标申报表的填写完整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申报表填写完整1分，不完整相应扣分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绩效指标操作性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绩效指标设置清晰、可衡量1分，反之相应扣分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与预算资金匹配度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绩效指标与本年度部门预算资金相匹配 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绩效指标与资金相匹配1分，不完全匹配相应扣分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1200"/>
          <w:gridAfter w:val="1"/>
          <w:wAfter w:w="38" w:type="dxa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绩效运行监控（15分）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部门预算支出完成率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部门预算支出完成程度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预算完成率＝[年度支出完成数/年度支出预算数（含调整预算及结转结余）]×100%。跨年度项目按工程进度或平均年度额分析计算。预算完成率90%及以上的得2分。每低于要求5个百分点扣1分，扣完为止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rPr>
          <w:trHeight w:val="1200"/>
          <w:gridAfter w:val="1"/>
          <w:wAfter w:w="38" w:type="dxa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　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部门预算项目执行率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部门项目预算执行调整程度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项目预算执行率＝[年度项目实际支出数/项目预算数（含调整预算及结转结余）]×100%。跨年度项目按工程进度或平均年度额分析计算。预算执行偏差度在10%以内的得2分，每超过5个百分点扣1分，扣完为止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>
        <w:trPr>
          <w:trHeight w:val="96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政府采购监管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预算执行率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部门政府采购预算执行情况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政府采购执行率=[实际政府采购金额/政府采购预算数（含调整预算）]×100%。政府采购预算执行偏差度在10%以内的得1分，超过的不得分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财政审批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部门政府采购财政审批情况　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应政府采购未采购的每发生一起扣0.5分，扣完该项得分为止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政府采购合规性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部门政府采购合规性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存在政府采购违规行为的该项不得分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96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三公经费控制率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三公经费控制率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r>
              <w:t>部门“三公”经费控制程度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r>
              <w:t>“三公”经费控制率＝（“三公”经费实际支出数/“三公”经费预算数）×100%。“三公”经费控制率≤100%的得3分，每高于要求2个百分点扣1分，扣完为止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资产管理信息系统建设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部门资产管理信息系统建设情况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考核部门和单位将国有资产纳入资产信息系统管理情况,已建好部门资产管理信息系统得1分，未建好不得分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资产清核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部门资产清理核实开展情况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考核部门和单位已按要求及时、真实、准确、全面开展资产清查、核实情况得1分，反之不得分；账实不合的按比例扣分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ind w:firstLineChars="100" w:firstLine="180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日常管理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部门资产登记、上报及管理情况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考核部门和单位已经对国有资产登记、上报，并出台管理办法、制度等措施得1分，差项按比例得分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预决算信息公开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预算信息公开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按规定内容、时限公开预算信息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按规定公开预算信息得1分，未按规定公开相应扣减分数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决算信息公开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按规定内容、时限公开决算信息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按规定公开决算信息得1分，未按规定公开相应扣减分数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6"/>
                <w:szCs w:val="16"/>
              </w:rPr>
            </w:pPr>
            <w:r>
              <w:rPr>
                <w:rFonts w:eastAsia="方正仿宋简体"/>
                <w:color w:val="000000"/>
                <w:sz w:val="16"/>
                <w:szCs w:val="16"/>
              </w:rPr>
              <w:t>绩效评价实施（15分）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部门项目自评率　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部门实施绩效评价项目覆盖情况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项目自评率＝自评项目数/项目总数×100%。按项目自评率得分（部门整体支出自评中列示项目的视为已自评）。</w:t>
            </w:r>
          </w:p>
        </w:tc>
        <w:tc>
          <w:tcPr>
            <w:tcW w:w="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rPr>
          <w:trHeight w:val="960"/>
          <w:gridAfter w:val="1"/>
          <w:wAfter w:w="38" w:type="dxa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资金评价覆盖率  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部门绩效评价项目资金覆盖情况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项目资金覆盖率=实施绩效评价项目资金额/部门项目预算资金总额×100%。绩效评价资金覆盖率100%得5分；每低于要求10个百分点扣1分，扣完为止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 xml:space="preserve">评价质量 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部门绩效评价质量情况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根据评价工作开展情况、评价报告质量、资料收集情况等综合评分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评价结果应用　　（15分）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绩效信息公开情况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按《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南江县县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级预算绩效信息公开规程》规定公开绩效信息的得3分，未按规定公开相应扣分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上年绩效评价发现的问题全面整改到位的得3分，没有全面整改到位的按比例得分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rPr>
          <w:trHeight w:val="96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其他监督检查问题整改情况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各级巡视巡察、纪检监察、审计、财政监督检查等发现问题全面整改到位的得3分，没有全面整改到位的按比例得分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监督管理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绩效问责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按规定实施绩效问责得3分，未按规定实施绩效问责相应扣分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项目及资金调整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6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根据绩效评价结果调整下年项目及金额情况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根据上年度绩效评价结果调整下年度项目及金额的得3分，未按规定调整的相应扣分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3</w:t>
            </w:r>
          </w:p>
        </w:tc>
      </w:tr>
      <w:tr>
        <w:trPr>
          <w:trHeight w:val="975"/>
          <w:gridAfter w:val="1"/>
          <w:wAfter w:w="38" w:type="dxa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项目支出绩效管理（30分）</w:t>
            </w:r>
          </w:p>
        </w:tc>
        <w:tc>
          <w:tcPr>
            <w:tcW w:w="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项目支出绩效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部门实施项目支出评价情况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按百分制形成的项目支出绩效评价分数换算成此项指标得分。有两个及以上专项预算项目的，以平均分作为得分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30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绩效管理创新(+5分)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管理制度创新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在绩效管理制度有创新或者发表相关研究文章的相应得分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480"/>
          <w:gridAfter w:val="1"/>
          <w:wAfter w:w="38" w:type="dxa"/>
        </w:trPr>
        <w:tc>
          <w:tcPr>
            <w:tcW w:w="7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/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工作推进创新　　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在工作推进中有创新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在推进自我评价、配合重点评价、完善个性指标体系方面的创新的相应得分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960"/>
          <w:gridAfter w:val="1"/>
          <w:wAfter w:w="38" w:type="dxa"/>
        </w:trPr>
        <w:tc>
          <w:tcPr>
            <w:tcW w:w="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监督发现问题 (-5分)</w:t>
            </w:r>
          </w:p>
        </w:tc>
        <w:tc>
          <w:tcPr>
            <w:tcW w:w="1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违规问题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部门或个人存在违反财政监督管理等情况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各级巡视巡察、纪检监察、审计、财政监督检查等发现财政管理问题的，每发现一类问题扣1分（多个部门发现的同类问题不重复扣分），涉及金额或社会影响较大的扣2-5分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720"/>
          <w:gridAfter w:val="1"/>
          <w:wAfter w:w="38" w:type="dxa"/>
        </w:trPr>
        <w:tc>
          <w:tcPr>
            <w:tcW w:w="2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扣分项（-5分）</w:t>
            </w:r>
          </w:p>
        </w:tc>
        <w:tc>
          <w:tcPr>
            <w:tcW w:w="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-5</w:t>
            </w:r>
          </w:p>
        </w:tc>
        <w:tc>
          <w:tcPr>
            <w:tcW w:w="334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被评价单位配合评价工作情况</w:t>
            </w:r>
          </w:p>
        </w:tc>
        <w:tc>
          <w:tcPr>
            <w:tcW w:w="2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财政重点评价过程中，发现评价对象</w:t>
            </w:r>
            <w:bookmarkStart w:id="0" w:name="_GoBack"/>
            <w:bookmarkEnd w:id="0"/>
            <w:r>
              <w:rPr>
                <w:rFonts w:eastAsia="方正仿宋简体"/>
                <w:color w:val="000000"/>
                <w:sz w:val="18"/>
                <w:szCs w:val="18"/>
              </w:rPr>
              <w:t>拖延推诿、提交资料不及时等不配合评价工作的，经报</w:t>
            </w:r>
            <w:r>
              <w:rPr>
                <w:rFonts w:eastAsia="方正仿宋简体" w:hint="eastAsia"/>
                <w:color w:val="000000"/>
                <w:sz w:val="18"/>
                <w:szCs w:val="18"/>
                <w:lang w:val="en-US" w:eastAsia="zh-CN"/>
              </w:rPr>
              <w:t>县</w:t>
            </w:r>
            <w:r>
              <w:rPr>
                <w:rFonts w:eastAsia="方正仿宋简体"/>
                <w:color w:val="000000"/>
                <w:sz w:val="18"/>
                <w:szCs w:val="18"/>
              </w:rPr>
              <w:t>财政局确认后每次扣1分，最高扣5分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　</w:t>
            </w:r>
          </w:p>
        </w:tc>
      </w:tr>
      <w:tr>
        <w:trPr>
          <w:trHeight w:val="351"/>
          <w:gridAfter w:val="1"/>
          <w:wAfter w:w="38" w:type="dxa"/>
        </w:trPr>
        <w:tc>
          <w:tcPr>
            <w:tcW w:w="1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8"/>
                <w:szCs w:val="18"/>
              </w:rPr>
            </w:pPr>
            <w:r>
              <w:rPr>
                <w:rFonts w:eastAsia="方正仿宋简体"/>
                <w:color w:val="000000"/>
                <w:sz w:val="18"/>
                <w:szCs w:val="18"/>
              </w:rPr>
              <w:t>评价结论</w:t>
            </w:r>
          </w:p>
        </w:tc>
        <w:tc>
          <w:tcPr>
            <w:tcW w:w="777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eastAsia="方正仿宋简体"/>
                <w:color w:val="000000"/>
                <w:sz w:val="15"/>
                <w:szCs w:val="15"/>
              </w:rPr>
            </w:pPr>
            <w:r>
              <w:rPr>
                <w:rFonts w:eastAsia="方正仿宋简体"/>
                <w:color w:val="000000"/>
                <w:sz w:val="15"/>
                <w:szCs w:val="15"/>
              </w:rPr>
              <w:t>总评分（Ｘ）　优秀（Ｘ≥90分)　良好（90＞Ｘ≥75分）合格（75分＞Ｘ≥60分）　不合格（Ｘ＜60）分）</w:t>
            </w:r>
          </w:p>
        </w:tc>
      </w:tr>
    </w:tbl>
    <w:p>
      <w:pPr>
        <w:adjustRightInd w:val="0"/>
        <w:snapToGrid w:val="0"/>
        <w:spacing w:line="240" w:lineRule="auto"/>
        <w:rPr>
          <w:rFonts w:eastAsia="仿宋_GB2312"/>
          <w:sz w:val="32"/>
          <w:szCs w:val="32"/>
          <w:lang w:val="zh-CN"/>
        </w:rPr>
      </w:pPr>
    </w:p>
    <w:sectPr>
      <w:headerReference w:type="default" r:id="rId2"/>
      <w:footerReference w:type="default" r:id="rId3"/>
      <w:footerReference w:type="even" r:id="rId4"/>
      <w:footerReference w:type="first" r:id="rId5"/>
      <w:pgSz w:w="11904" w:h="16834"/>
      <w:pgMar w:top="1985" w:right="1418" w:bottom="1609" w:left="1588" w:header="851" w:footer="992" w:gutter="0"/>
      <w:titlePg/>
      <w:docGrid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书宋_GBK"/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仿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??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jc w:val="right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27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  <w:p>
    <w:pPr>
      <w:pStyle w:val="16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28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  <w:p>
    <w:pPr>
      <w:pStyle w:val="16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6"/>
      <w:tabs>
        <w:tab w:val="center" w:pos="4153"/>
        <w:tab w:val="right" w:pos="8306"/>
      </w:tabs>
      <w:ind w:firstLineChars="2800" w:firstLine="7840"/>
      <w:rPr>
        <w:rFonts w:ascii="宋体"/>
        <w:sz w:val="28"/>
        <w:szCs w:val="28"/>
      </w:rPr>
    </w:pPr>
    <w:r>
      <w:rPr>
        <w:rFonts w:ascii="宋体" w:hint="eastAsia"/>
        <w:sz w:val="28"/>
        <w:szCs w:val="28"/>
      </w:rPr>
      <w:t xml:space="preserve">— </w:t>
    </w:r>
    <w:r>
      <w:rPr>
        <w:rFonts w:ascii="宋体"/>
        <w:sz w:val="28"/>
        <w:szCs w:val="28"/>
      </w:rPr>
      <w:fldChar w:fldCharType="begin"/>
    </w:r>
    <w:r>
      <w:rPr>
        <w:rFonts w:ascii="宋体"/>
        <w:sz w:val="28"/>
        <w:szCs w:val="28"/>
      </w:rPr>
      <w:instrText xml:space="preserve"> PAGE   \* MERGEFORMAT </w:instrText>
    </w:r>
    <w:r>
      <w:rPr>
        <w:rFonts w:ascii="宋体"/>
        <w:sz w:val="28"/>
        <w:szCs w:val="28"/>
      </w:rPr>
      <w:fldChar w:fldCharType="separate"/>
    </w:r>
    <w:r>
      <w:rPr>
        <w:rFonts w:ascii="宋体"/>
        <w:sz w:val="28"/>
        <w:szCs w:val="28"/>
        <w:lang w:val="zh-CN"/>
      </w:rPr>
      <w:t>28</w:t>
    </w:r>
    <w:r>
      <w:rPr>
        <w:rFonts w:ascii="宋体"/>
        <w:sz w:val="28"/>
        <w:szCs w:val="28"/>
      </w:rPr>
      <w:fldChar w:fldCharType="end"/>
    </w:r>
    <w:r>
      <w:rPr>
        <w:rFonts w:ascii="宋体" w:hint="eastAsia"/>
        <w:sz w:val="28"/>
        <w:szCs w:val="28"/>
      </w:rPr>
      <w:t xml:space="preserve"> —</w:t>
    </w:r>
  </w:p>
  <w:p>
    <w:pPr>
      <w:pStyle w:val="16"/>
      <w:tabs>
        <w:tab w:val="center" w:pos="4153"/>
        <w:tab w:val="right" w:pos="8306"/>
      </w:tabs>
    </w:pPr>
  </w:p>
</w:ftr>
</file>

<file path=word/header1.xml><?xml version="1.0" encoding="utf-8"?>
<w:hd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pBdr>
        <w:bottom w:val="none" w:sz="0" w:space="0" w:color="auto"/>
      </w:pBdr>
      <w:tabs>
        <w:tab w:val="center" w:pos="4153"/>
        <w:tab w:val="right" w:pos="8306"/>
      </w:tabs>
    </w:pPr>
  </w:p>
</w:hd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2"/>
  <w:bordersDoNotSurroundHeader w:val="0"/>
  <w:bordersDoNotSurroundFooter w:val="0"/>
  <w:documentProtection w:edit="readOnly" w:enforcement="0"/>
  <w:defaultTabStop w:val="420"/>
  <w:evenAndOddHeaders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YWM3ZTUzOTA2Mzg3MDkxNmNjYTM5ODE4YWE2ZDQ5NzI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paragraph" w:styleId="15">
    <w:name w:val="Date"/>
    <w:basedOn w:val="0"/>
    <w:next w:val="0"/>
    <w:pPr>
      <w:ind w:leftChars="2500" w:left="2500"/>
    </w:pPr>
  </w:style>
  <w:style w:type="paragraph" w:styleId="16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paragraph" w:styleId="19">
    <w:name w:val="List Paragraph"/>
    <w:basedOn w:val="0"/>
    <w:pPr>
      <w:ind w:firstLineChars="200" w:firstLine="200"/>
    </w:pPr>
  </w:style>
  <w:style w:type="paragraph" w:customStyle="1" w:styleId="20">
    <w:name w:val="p0"/>
    <w:basedOn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  <w:szCs w:val="24"/>
    </w:rPr>
  </w:style>
  <w:style w:type="paragraph" w:customStyle="1" w:styleId="21">
    <w:name w:val="四号正文"/>
    <w:basedOn w:val="0"/>
    <w:pPr>
      <w:spacing w:line="360" w:lineRule="auto"/>
    </w:pPr>
    <w:rPr>
      <w:rFonts w:ascii="??" w:cs="宋体" w:hAnsi="??"/>
      <w:color w:val="000000"/>
      <w:kern w:val="0"/>
      <w:sz w:val="28"/>
      <w:szCs w:val="21"/>
    </w:rPr>
  </w:style>
  <w:style w:type="paragraph" w:customStyle="1" w:styleId="22">
    <w:name w:val="标题1"/>
    <w:basedOn w:val="0"/>
    <w:pPr>
      <w:spacing w:before="100" w:after="50" w:line="440" w:lineRule="exact"/>
      <w:ind w:firstLine="0"/>
      <w:outlineLvl w:val="1"/>
    </w:pPr>
    <w:rPr>
      <w:rFonts w:ascii="黑体" w:eastAsia="黑体"/>
      <w:sz w:val="36"/>
      <w:szCs w:val="28"/>
    </w:rPr>
  </w:style>
  <w:style w:type="paragraph" w:customStyle="1" w:styleId="23">
    <w:name w:val="标题2"/>
    <w:basedOn w:val="0"/>
    <w:pPr>
      <w:spacing w:before="100" w:after="10" w:line="440" w:lineRule="exact"/>
      <w:ind w:firstLine="0"/>
      <w:outlineLvl w:val="2"/>
    </w:pPr>
    <w:rPr>
      <w:rFonts w:ascii="黑体" w:eastAsia="黑体"/>
      <w:sz w:val="36"/>
    </w:rPr>
  </w:style>
  <w:style w:type="paragraph" w:customStyle="1" w:styleId="24">
    <w:name w:val="标题3"/>
    <w:basedOn w:val="0"/>
    <w:pPr>
      <w:spacing w:before="100" w:after="50" w:line="440" w:lineRule="exact"/>
      <w:ind w:firstLine="0"/>
      <w:outlineLvl w:val="2"/>
    </w:pPr>
    <w:rPr>
      <w:rFonts w:ascii="宋体" w:eastAsia="黑体" w:hAnsi="宋体"/>
      <w:sz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er" Target="footer3.xml"/><Relationship Id="rId6" Type="http://schemas.openxmlformats.org/officeDocument/2006/relationships/styles" Target="styles.xml"/><Relationship Id="rId7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</TotalTime>
  <Application>Yozo_Office27021597764231179</Application>
  <Pages>3</Pages>
  <Words>2740</Words>
  <Characters>2821</Characters>
  <Lines>470</Lines>
  <Paragraphs>239</Paragraphs>
  <CharactersWithSpaces>2887</CharactersWithSpaces>
  <Company>微软中国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伍松</dc:creator>
  <cp:lastModifiedBy>user</cp:lastModifiedBy>
  <cp:revision>221</cp:revision>
  <cp:lastPrinted>2024-05-29T08:51:00Z</cp:lastPrinted>
  <dcterms:created xsi:type="dcterms:W3CDTF">2021-03-02T17:35:00Z</dcterms:created>
  <dcterms:modified xsi:type="dcterms:W3CDTF">2024-06-11T01:39:43Z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2052-12.1.0.16929</vt:lpwstr>
  </property>
  <property fmtid="{D5CDD505-2E9C-101B-9397-08002B2CF9AE}" pid="3" name="ICV">
    <vt:lpwstr>5CF713B493164CEAB05C4A9184A2C2BC_13</vt:lpwstr>
  </property>
</Properties>
</file>