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674" w:tblpY="-5"/>
        <w:tblOverlap w:val="never"/>
        <w:tblW w:w="8943" w:type="dxa"/>
        <w:tblInd w:w="0" w:type="dxa"/>
        <w:tblLayout w:type="fixed"/>
        <w:tblCellMar>
          <w:top w:w="0" w:type="dxa"/>
          <w:left w:w="108" w:type="dxa"/>
          <w:bottom w:w="0" w:type="dxa"/>
          <w:right w:w="108" w:type="dxa"/>
        </w:tblCellMar>
      </w:tblPr>
      <w:tblGrid>
        <w:gridCol w:w="581"/>
        <w:gridCol w:w="538"/>
        <w:gridCol w:w="580"/>
        <w:gridCol w:w="2587"/>
        <w:gridCol w:w="3257"/>
        <w:gridCol w:w="567"/>
        <w:gridCol w:w="833"/>
      </w:tblGrid>
      <w:tr>
        <w:tblPrEx>
          <w:tblCellMar>
            <w:top w:w="0" w:type="dxa"/>
            <w:left w:w="108" w:type="dxa"/>
            <w:bottom w:w="0" w:type="dxa"/>
            <w:right w:w="108" w:type="dxa"/>
          </w:tblCellMar>
        </w:tblPrEx>
        <w:trPr>
          <w:trHeight w:val="420" w:hRule="atLeast"/>
        </w:trPr>
        <w:tc>
          <w:tcPr>
            <w:tcW w:w="8943" w:type="dxa"/>
            <w:gridSpan w:val="7"/>
            <w:tcBorders>
              <w:top w:val="nil"/>
              <w:left w:val="nil"/>
              <w:bottom w:val="single" w:color="auto" w:sz="4" w:space="0"/>
              <w:right w:val="nil"/>
            </w:tcBorders>
            <w:shd w:val="clear" w:color="auto" w:fill="auto"/>
            <w:vAlign w:val="center"/>
          </w:tcPr>
          <w:p>
            <w:pPr>
              <w:jc w:val="center"/>
              <w:rPr>
                <w:rFonts w:hint="eastAsia" w:ascii="Times New Roman" w:hAnsi="Times New Roman" w:eastAsia="方正小标宋简体" w:cs="Times New Roman"/>
                <w:b/>
                <w:bCs/>
                <w:color w:val="000000"/>
                <w:sz w:val="32"/>
                <w:szCs w:val="32"/>
                <w:lang w:eastAsia="zh-CN"/>
              </w:rPr>
            </w:pPr>
            <w:r>
              <w:rPr>
                <w:rFonts w:hint="eastAsia" w:ascii="Times New Roman" w:hAnsi="Times New Roman" w:eastAsia="方正小标宋简体" w:cs="Times New Roman"/>
                <w:b/>
                <w:bCs/>
                <w:color w:val="000000"/>
                <w:sz w:val="32"/>
                <w:szCs w:val="32"/>
                <w:lang w:eastAsia="zh-CN"/>
              </w:rPr>
              <w:t>机关事业单位档案管理费</w:t>
            </w:r>
            <w:r>
              <w:rPr>
                <w:rFonts w:ascii="Times New Roman" w:hAnsi="Times New Roman" w:eastAsia="方正小标宋简体" w:cs="Times New Roman"/>
                <w:b/>
                <w:bCs/>
                <w:color w:val="000000"/>
                <w:sz w:val="32"/>
                <w:szCs w:val="32"/>
              </w:rPr>
              <w:t>项目支出绩效评价</w:t>
            </w:r>
            <w:r>
              <w:rPr>
                <w:rFonts w:hint="eastAsia" w:ascii="Times New Roman" w:hAnsi="Times New Roman" w:eastAsia="方正小标宋简体" w:cs="Times New Roman"/>
                <w:b/>
                <w:bCs/>
                <w:color w:val="000000"/>
                <w:sz w:val="32"/>
                <w:szCs w:val="32"/>
                <w:lang w:eastAsia="zh-CN"/>
              </w:rPr>
              <w:t>指标体系</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imes New Roman" w:hAnsi="Times New Roman" w:eastAsia="宋体" w:cs="Times New Roman"/>
                <w:b/>
                <w:bCs/>
                <w:color w:val="000000"/>
                <w:sz w:val="15"/>
                <w:szCs w:val="15"/>
                <w:lang w:eastAsia="zh-CN"/>
              </w:rPr>
            </w:pPr>
            <w:r>
              <w:rPr>
                <w:rFonts w:ascii="Times New Roman" w:hAnsi="Times New Roman" w:eastAsia="宋体" w:cs="Times New Roman"/>
                <w:b/>
                <w:bCs/>
                <w:color w:val="000000"/>
                <w:sz w:val="15"/>
                <w:szCs w:val="15"/>
              </w:rPr>
              <w:t>一级</w:t>
            </w:r>
          </w:p>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指标</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imes New Roman" w:hAnsi="Times New Roman" w:eastAsia="宋体" w:cs="Times New Roman"/>
                <w:b/>
                <w:bCs/>
                <w:color w:val="000000"/>
                <w:sz w:val="15"/>
                <w:szCs w:val="15"/>
                <w:lang w:eastAsia="zh-CN"/>
              </w:rPr>
            </w:pPr>
            <w:r>
              <w:rPr>
                <w:rFonts w:ascii="Times New Roman" w:hAnsi="Times New Roman" w:eastAsia="宋体" w:cs="Times New Roman"/>
                <w:b/>
                <w:bCs/>
                <w:color w:val="000000"/>
                <w:sz w:val="15"/>
                <w:szCs w:val="15"/>
              </w:rPr>
              <w:t>二级</w:t>
            </w:r>
          </w:p>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指标</w:t>
            </w: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imes New Roman" w:hAnsi="Times New Roman" w:eastAsia="宋体" w:cs="Times New Roman"/>
                <w:b/>
                <w:bCs/>
                <w:color w:val="000000"/>
                <w:sz w:val="15"/>
                <w:szCs w:val="15"/>
                <w:lang w:eastAsia="zh-CN"/>
              </w:rPr>
            </w:pPr>
            <w:r>
              <w:rPr>
                <w:rFonts w:ascii="Times New Roman" w:hAnsi="Times New Roman" w:eastAsia="宋体" w:cs="Times New Roman"/>
                <w:b/>
                <w:bCs/>
                <w:color w:val="000000"/>
                <w:sz w:val="15"/>
                <w:szCs w:val="15"/>
              </w:rPr>
              <w:t>三级</w:t>
            </w:r>
          </w:p>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指标</w:t>
            </w:r>
          </w:p>
        </w:tc>
        <w:tc>
          <w:tcPr>
            <w:tcW w:w="258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评价内容</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评价标准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评价  得分</w:t>
            </w:r>
          </w:p>
        </w:tc>
        <w:tc>
          <w:tcPr>
            <w:tcW w:w="833" w:type="dxa"/>
            <w:vMerge w:val="restart"/>
            <w:tcBorders>
              <w:top w:val="nil"/>
              <w:left w:val="nil"/>
              <w:bottom w:val="single" w:color="000000" w:sz="4" w:space="0"/>
              <w:right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备注</w:t>
            </w: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b/>
                <w:bCs/>
                <w:color w:val="000000"/>
                <w:sz w:val="15"/>
                <w:szCs w:val="15"/>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b/>
                <w:bCs/>
                <w:color w:val="000000"/>
                <w:sz w:val="15"/>
                <w:szCs w:val="15"/>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b/>
                <w:bCs/>
                <w:color w:val="000000"/>
                <w:sz w:val="15"/>
                <w:szCs w:val="15"/>
              </w:rPr>
            </w:pPr>
          </w:p>
        </w:tc>
        <w:tc>
          <w:tcPr>
            <w:tcW w:w="2587" w:type="dxa"/>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b/>
                <w:bCs/>
                <w:color w:val="000000"/>
                <w:sz w:val="15"/>
                <w:szCs w:val="15"/>
              </w:rPr>
            </w:pPr>
          </w:p>
        </w:tc>
        <w:tc>
          <w:tcPr>
            <w:tcW w:w="325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b/>
                <w:bCs/>
                <w:color w:val="00000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b/>
                <w:bCs/>
                <w:sz w:val="15"/>
                <w:szCs w:val="15"/>
              </w:rPr>
            </w:pPr>
          </w:p>
        </w:tc>
        <w:tc>
          <w:tcPr>
            <w:tcW w:w="833" w:type="dxa"/>
            <w:vMerge w:val="continue"/>
            <w:tcBorders>
              <w:top w:val="nil"/>
              <w:left w:val="nil"/>
              <w:bottom w:val="single" w:color="000000" w:sz="4" w:space="0"/>
              <w:right w:val="single" w:color="auto" w:sz="4" w:space="0"/>
            </w:tcBorders>
            <w:vAlign w:val="center"/>
          </w:tcPr>
          <w:p>
            <w:pPr>
              <w:rPr>
                <w:rFonts w:ascii="Times New Roman" w:hAnsi="Times New Roman" w:eastAsia="宋体" w:cs="Times New Roman"/>
                <w:b/>
                <w:bCs/>
                <w:sz w:val="15"/>
                <w:szCs w:val="15"/>
              </w:rPr>
            </w:pPr>
          </w:p>
        </w:tc>
      </w:tr>
      <w:tr>
        <w:tblPrEx>
          <w:tblCellMar>
            <w:top w:w="0" w:type="dxa"/>
            <w:left w:w="108" w:type="dxa"/>
            <w:bottom w:w="0" w:type="dxa"/>
            <w:right w:w="108" w:type="dxa"/>
          </w:tblCellMar>
        </w:tblPrEx>
        <w:trPr>
          <w:trHeight w:val="270" w:hRule="atLeast"/>
        </w:trPr>
        <w:tc>
          <w:tcPr>
            <w:tcW w:w="754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评价得分</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hint="eastAsia" w:ascii="Times New Roman" w:hAnsi="Times New Roman" w:eastAsia="宋体" w:cs="Times New Roman"/>
                <w:b/>
                <w:bCs/>
                <w:sz w:val="15"/>
                <w:szCs w:val="15"/>
                <w:lang w:val="en-US" w:eastAsia="zh-CN"/>
              </w:rPr>
              <w:t>95.5</w:t>
            </w:r>
            <w:r>
              <w:rPr>
                <w:rFonts w:ascii="Times New Roman" w:hAnsi="Times New Roman" w:eastAsia="宋体" w:cs="Times New Roman"/>
                <w:b/>
                <w:bCs/>
                <w:sz w:val="15"/>
                <w:szCs w:val="15"/>
              </w:rPr>
              <w:t>　</w:t>
            </w:r>
          </w:p>
        </w:tc>
        <w:tc>
          <w:tcPr>
            <w:tcW w:w="833" w:type="dxa"/>
            <w:tcBorders>
              <w:top w:val="nil"/>
              <w:left w:val="nil"/>
              <w:bottom w:val="nil"/>
              <w:right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　</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项 目 决 策</w:t>
            </w:r>
          </w:p>
          <w:p>
            <w:pPr>
              <w:jc w:val="center"/>
              <w:rPr>
                <w:rFonts w:ascii="Times New Roman" w:hAnsi="Times New Roman" w:eastAsia="宋体" w:cs="Times New Roman"/>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项目</w:t>
            </w:r>
          </w:p>
          <w:p>
            <w:pPr>
              <w:jc w:val="center"/>
              <w:rPr>
                <w:rFonts w:hint="eastAsia" w:eastAsia="宋体"/>
                <w:color w:val="000000"/>
                <w:sz w:val="16"/>
                <w:szCs w:val="16"/>
                <w:lang w:eastAsia="zh-CN"/>
              </w:rPr>
            </w:pPr>
            <w:r>
              <w:rPr>
                <w:color w:val="000000"/>
                <w:sz w:val="16"/>
                <w:szCs w:val="16"/>
              </w:rPr>
              <w:t>设立</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(5分)</w:t>
            </w:r>
          </w:p>
          <w:p>
            <w:pPr>
              <w:jc w:val="cente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立项</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依据</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1.项目设立是否有明确政策规定(0.5分)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有规定且当年必须安排(0.5分)；无明确规定(0分)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restart"/>
            <w:tcBorders>
              <w:top w:val="single" w:color="auto" w:sz="4" w:space="0"/>
              <w:left w:val="single" w:color="auto" w:sz="4" w:space="0"/>
              <w:bottom w:val="nil"/>
              <w:right w:val="single" w:color="auto" w:sz="4" w:space="0"/>
            </w:tcBorders>
            <w:shd w:val="clear" w:color="auto" w:fill="auto"/>
          </w:tcPr>
          <w:p>
            <w:pPr>
              <w:rPr>
                <w:rFonts w:ascii="Times New Roman" w:hAnsi="Times New Roman" w:eastAsia="宋体" w:cs="Times New Roman"/>
                <w:sz w:val="15"/>
                <w:szCs w:val="15"/>
              </w:rPr>
            </w:pPr>
            <w:r>
              <w:rPr>
                <w:rFonts w:ascii="Times New Roman" w:hAnsi="Times New Roman" w:eastAsia="宋体" w:cs="Times New Roman"/>
                <w:sz w:val="15"/>
                <w:szCs w:val="15"/>
              </w:rPr>
              <w:t>∑np。其中：n-抽样现场评价点指标得分情况；p-单个抽样项目点财政补助资金/所有抽样项目点财政资金总额</w:t>
            </w: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2.项目是否为促进事业发展所必需(1分)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围绕保障重点,紧扣发展大局(1分)；满足部门运转需要(0.5分)；不切合本地实际，实施效果较差（0分）</w:t>
            </w:r>
            <w:bookmarkStart w:id="0" w:name="_GoBack"/>
            <w:bookmarkEnd w:id="0"/>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3.文件依据、相关资料提供是否完整、充分(1分)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资料完整、充分（1分）；有依据但提供不完整(0.5分)；未提供相关资料（0分）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立项</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程序</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1.是否按规定程序申请设立(0.5分)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符合相关程序（0.5分）；不符合相关程序（0分）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2.是否经过可研论证、风险评估、集体决策等(1分)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评估论证报告或决策记录完整(1分)；评估论证报告或决策记录不完整(0.5分)；未评估论证或集体决策（0分）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3.是否通过单位表决一致通过立项（1分）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有单位表决文件资料或会议</w:t>
            </w:r>
            <w:r>
              <w:rPr>
                <w:rFonts w:hint="eastAsia"/>
                <w:color w:val="000000"/>
                <w:sz w:val="16"/>
                <w:szCs w:val="16"/>
                <w:lang w:val="en-US" w:eastAsia="zh-CN"/>
              </w:rPr>
              <w:t>纪</w:t>
            </w:r>
            <w:r>
              <w:rPr>
                <w:color w:val="000000"/>
                <w:sz w:val="16"/>
                <w:szCs w:val="16"/>
              </w:rPr>
              <w:t>要（1分）；无任何资料（0分）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绩效</w:t>
            </w:r>
          </w:p>
          <w:p>
            <w:pPr>
              <w:jc w:val="center"/>
              <w:rPr>
                <w:rFonts w:hint="eastAsia" w:eastAsia="宋体"/>
                <w:color w:val="000000"/>
                <w:sz w:val="16"/>
                <w:szCs w:val="16"/>
                <w:lang w:eastAsia="zh-CN"/>
              </w:rPr>
            </w:pPr>
            <w:r>
              <w:rPr>
                <w:color w:val="000000"/>
                <w:sz w:val="16"/>
                <w:szCs w:val="16"/>
              </w:rPr>
              <w:t>目标</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(8分)</w:t>
            </w:r>
          </w:p>
          <w:p>
            <w:pPr>
              <w:jc w:val="cente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kern w:val="2"/>
                <w:sz w:val="16"/>
                <w:szCs w:val="16"/>
                <w:lang w:val="en-US" w:eastAsia="zh-CN" w:bidi="ar-SA"/>
              </w:rPr>
            </w:pPr>
            <w:r>
              <w:rPr>
                <w:sz w:val="16"/>
                <w:szCs w:val="16"/>
              </w:rPr>
              <w:t>目标设定</w:t>
            </w:r>
          </w:p>
          <w:p>
            <w:pPr>
              <w:jc w:val="cente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1.是否按年度计划编报绩效目标(1分)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已报送绩效计划且目标明确(1分)；已报送绩效计划但目标不明确(0.5分)；未报送绩效计划(0分)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2.绩效目标是否符合国家相关法律、法规、国民经济发展规划和</w:t>
            </w:r>
            <w:r>
              <w:rPr>
                <w:rFonts w:hint="eastAsia"/>
                <w:color w:val="000000"/>
                <w:sz w:val="16"/>
                <w:szCs w:val="16"/>
                <w:lang w:val="en-US" w:eastAsia="zh-CN"/>
              </w:rPr>
              <w:t>县</w:t>
            </w:r>
            <w:r>
              <w:rPr>
                <w:color w:val="000000"/>
                <w:sz w:val="16"/>
                <w:szCs w:val="16"/>
              </w:rPr>
              <w:t>委、</w:t>
            </w:r>
            <w:r>
              <w:rPr>
                <w:rFonts w:hint="eastAsia"/>
                <w:color w:val="000000"/>
                <w:sz w:val="16"/>
                <w:szCs w:val="16"/>
                <w:lang w:val="en-US" w:eastAsia="zh-CN"/>
              </w:rPr>
              <w:t>县</w:t>
            </w:r>
            <w:r>
              <w:rPr>
                <w:color w:val="000000"/>
                <w:sz w:val="16"/>
                <w:szCs w:val="16"/>
              </w:rPr>
              <w:t>政府决策(0.5分)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与文件规定或政府下达的任务数相一致(0.5分)；与文件规定或政府下达的任务数有差距(0分)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3.绩效目标是否符合客观实际，切实可行(0.5分)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单位申报数控制在财政审定数或实际完成数的2倍以内(0.5分)；大于2倍小于3倍（0.5分）；大于3倍（0分）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4.绩效目标是否清晰、细化、可衡量，相关指标能否恰当准确反映绩效目标完成程度（1分）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目标细化,指标具体、恰当(1分）；目标较粗略，考核指标不完整（0.5分）；目标未细化到具体指标（0分）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D0D0D"/>
                <w:kern w:val="2"/>
                <w:sz w:val="16"/>
                <w:szCs w:val="16"/>
                <w:lang w:val="en-US" w:eastAsia="zh-CN" w:bidi="ar-SA"/>
              </w:rPr>
            </w:pPr>
            <w:r>
              <w:rPr>
                <w:color w:val="0D0D0D"/>
                <w:sz w:val="16"/>
                <w:szCs w:val="16"/>
              </w:rPr>
              <w:t>5.实施计划是否科学合理，并符合相关技术规范(1分)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符合相关规范且按计划实施(1分)；符合相关规范但实施进度与实际有差距(0.5分)；不符合相关技术规范（0分）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D0D0D"/>
                <w:kern w:val="2"/>
                <w:sz w:val="16"/>
                <w:szCs w:val="16"/>
                <w:lang w:val="en-US" w:eastAsia="zh-CN" w:bidi="ar-SA"/>
              </w:rPr>
            </w:pPr>
            <w:r>
              <w:rPr>
                <w:color w:val="0D0D0D"/>
                <w:sz w:val="16"/>
                <w:szCs w:val="16"/>
              </w:rPr>
              <w:t>6.绩效目标管理措施是否得当，分工是否明确、责任是否落实(1分)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措施得当，分工明确，责任落实（1分）；有措施但分工不明确,责任不落实（0.5分）；无管理措施（0分）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D0D0D"/>
                <w:kern w:val="2"/>
                <w:sz w:val="16"/>
                <w:szCs w:val="16"/>
                <w:lang w:val="en-US" w:eastAsia="zh-CN" w:bidi="ar-SA"/>
              </w:rPr>
            </w:pPr>
            <w:r>
              <w:rPr>
                <w:color w:val="0D0D0D"/>
                <w:sz w:val="16"/>
                <w:szCs w:val="16"/>
              </w:rPr>
              <w:t>7.预期产出和效益、效果是否符合正常业绩水平(1分)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D0D0D"/>
                <w:kern w:val="2"/>
                <w:sz w:val="16"/>
                <w:szCs w:val="16"/>
                <w:lang w:val="en-US" w:eastAsia="zh-CN" w:bidi="ar-SA"/>
              </w:rPr>
            </w:pPr>
            <w:r>
              <w:rPr>
                <w:color w:val="0D0D0D"/>
                <w:sz w:val="16"/>
                <w:szCs w:val="16"/>
              </w:rPr>
              <w:t>8.绩效目标是否与经费预算相衔接，是否符合当地发展水平(0.5分)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衔接紧密且符合实际(0.5分)；不相衔接且不符合实际(0分)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目标</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调整</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1.项目预算调整是否及时报送绩效目标调整方案(1分)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同步报送(1分)；未报送（0分）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2.目标修订或调整方案是否按程序报批和备案（0.5分）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按程序报批和备案（0.5分）；未报批、备案（0分）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经费</w:t>
            </w:r>
          </w:p>
          <w:p>
            <w:pPr>
              <w:jc w:val="center"/>
              <w:rPr>
                <w:rFonts w:hint="eastAsia" w:eastAsia="宋体"/>
                <w:color w:val="000000"/>
                <w:sz w:val="16"/>
                <w:szCs w:val="16"/>
                <w:lang w:eastAsia="zh-CN"/>
              </w:rPr>
            </w:pPr>
            <w:r>
              <w:rPr>
                <w:color w:val="000000"/>
                <w:sz w:val="16"/>
                <w:szCs w:val="16"/>
              </w:rPr>
              <w:t>安排</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(7分)</w:t>
            </w:r>
          </w:p>
          <w:p>
            <w:pPr>
              <w:jc w:val="cente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标准</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控制</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1.经费测算是否符合有关要求和定额标准（0.5分）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符合(0.5分)；与相关规定和定额标准有差异(0分)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2.经费预算是否与财力水平相适应（1分）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单位申报额控制在财政审定或实际支出额的2倍以内（1分）；大于2倍小于3倍（0.5分）；大于3倍（0分）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3.是否体现厉行节约禁止铺张浪费有关规定（0.5分）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测算细致且有节支措施(0.5分)；经费测算随意性较大(0分)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4.经费预算是否与设定的绩效目标相符合（1分）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相符（1分）；基本相符（0.5分）；不相符（0分）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预算</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约束</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1.经费预算是否细化、具体、准确，具有可操作性（1分）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方案具体、细化，支出项目、金额有据可查(1分)；方案基本符合要求，支出项目、金额基本准确(0.5分)；方案粗略，开支项目、金额随意性较大(0分)</w:t>
            </w:r>
          </w:p>
        </w:tc>
        <w:tc>
          <w:tcPr>
            <w:tcW w:w="567" w:type="dxa"/>
            <w:tcBorders>
              <w:top w:val="nil"/>
              <w:left w:val="nil"/>
              <w:bottom w:val="single" w:color="000000"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000000"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2.资金用途和开支范围是否明确(1分)</w:t>
            </w:r>
          </w:p>
        </w:tc>
        <w:tc>
          <w:tcPr>
            <w:tcW w:w="325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用途明确、范围具体(1分)；用途、范围基本明确(0.5分)；支出用途、范围不明确（0分）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000000"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3.资金支出进度是否明确、细化、科学合理(1分)</w:t>
            </w:r>
          </w:p>
        </w:tc>
        <w:tc>
          <w:tcPr>
            <w:tcW w:w="3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进度计划与项目实施衔接紧密(1分)；进度计划与项目实施基本保持一致(0.5分)；无进度计划(0分)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4.有无预算约束控制措施(1分)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措施完善、细化(1分)；有措施，但不具体(0.5分)；措施缺失(0分)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w:t>
            </w:r>
          </w:p>
          <w:p>
            <w:pPr>
              <w:jc w:val="center"/>
              <w:rPr>
                <w:rFonts w:hint="eastAsia" w:eastAsia="宋体"/>
                <w:color w:val="000000"/>
                <w:sz w:val="16"/>
                <w:szCs w:val="16"/>
                <w:lang w:eastAsia="zh-CN"/>
              </w:rPr>
            </w:pPr>
            <w:r>
              <w:rPr>
                <w:color w:val="000000"/>
                <w:sz w:val="16"/>
                <w:szCs w:val="16"/>
              </w:rPr>
              <w:t>目</w:t>
            </w:r>
          </w:p>
          <w:p>
            <w:pPr>
              <w:jc w:val="center"/>
              <w:rPr>
                <w:rFonts w:hint="eastAsia" w:eastAsia="宋体"/>
                <w:color w:val="000000"/>
                <w:sz w:val="16"/>
                <w:szCs w:val="16"/>
                <w:lang w:eastAsia="zh-CN"/>
              </w:rPr>
            </w:pPr>
            <w:r>
              <w:rPr>
                <w:color w:val="000000"/>
                <w:sz w:val="16"/>
                <w:szCs w:val="16"/>
              </w:rPr>
              <w:t>管</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理</w:t>
            </w:r>
          </w:p>
          <w:p>
            <w:pPr>
              <w:jc w:val="center"/>
              <w:rPr>
                <w:rFonts w:ascii="Times New Roman" w:hAnsi="Times New Roman" w:eastAsia="宋体" w:cs="Times New Roman"/>
                <w:color w:val="000000"/>
                <w:sz w:val="16"/>
                <w:szCs w:val="16"/>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业务</w:t>
            </w:r>
          </w:p>
          <w:p>
            <w:pPr>
              <w:jc w:val="center"/>
              <w:rPr>
                <w:rFonts w:hint="eastAsia" w:eastAsia="宋体"/>
                <w:color w:val="000000"/>
                <w:sz w:val="16"/>
                <w:szCs w:val="16"/>
                <w:lang w:eastAsia="zh-CN"/>
              </w:rPr>
            </w:pPr>
            <w:r>
              <w:rPr>
                <w:color w:val="000000"/>
                <w:sz w:val="16"/>
                <w:szCs w:val="16"/>
              </w:rPr>
              <w:t>管理</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(15分)</w:t>
            </w:r>
          </w:p>
          <w:p>
            <w:pPr>
              <w:jc w:val="cente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制度</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建设</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1.是否制定质量、进度和安全管理等监管制度（1分）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制度健全(1分)；有但不完善(0.5分)；未制定(0分)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2.是否有相应的质量要求、安全规程和技术标准（1分）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已制定(1分)；未制定(0分)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3.内控措施是否健全，有无制度缺失或管理漏洞（1分）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制度健全有效（1分）；有内控制度但不完善（0.5分）；未制定且存在管理漏洞（0分）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4.制度、措施是否符合法律、法规规定,是否符合行业规定或相关技术规范（1分）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组织</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实施</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1.是否按预定的业务内容组织实施,有无随意增减变更业务内容（1分）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严格按计划实施（1分）；经批准有增减变动（0.5分）；增减变动事项未经批准（0分）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2.是否严格按照相应的进度控制、技术规范和安全规程组织实施（1分）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严守规范、规程（1分）；有违规操作行为（0分）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3.投资变更、业务内容调整是否按规定程序审批(1分)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变更、调整程序合法，手续齐备（1分）；未经批准变更投资和业务内容（0分）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4.项目实施人员条件、场地设备、信息支撑等是否落实到位(1分)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落实到位(1分)；基本落实(0.5分)；未落实(0分)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5.内控制度是否得到有效执行，能否及时发现并有效解决实施过程的管理遗漏(1分)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6.项目合同书、验收报告、技术鉴定等项目实施资料是否齐全并及时归档(1分)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项目</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监管</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1.监管人员和监管技术手段等是否有效保障(1分)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保障到位(1分)；基本保障(0.5分)；监管人员和措施缺失(0分)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2.质量管理、进度控制、过程监管和安全管理等项目监管制度和措施是否落实(1分)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3.项目管理薄弱环节能否及时发现并采取有效对策(1分)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能及时发现且采取有效对策（1分）；能及时发现但未采取对策或未发现（0分）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4.项目监管意见能否及时反馈并得到落实(1分)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能（1分）；不能（0分）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5.项目监管资料是否齐全并及时归档(1分)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财务</w:t>
            </w:r>
          </w:p>
          <w:p>
            <w:pPr>
              <w:jc w:val="center"/>
              <w:rPr>
                <w:rFonts w:hint="eastAsia" w:eastAsia="宋体"/>
                <w:color w:val="000000"/>
                <w:sz w:val="16"/>
                <w:szCs w:val="16"/>
                <w:lang w:eastAsia="zh-CN"/>
              </w:rPr>
            </w:pPr>
            <w:r>
              <w:rPr>
                <w:color w:val="000000"/>
                <w:sz w:val="16"/>
                <w:szCs w:val="16"/>
              </w:rPr>
              <w:t>管理</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(15分)</w:t>
            </w:r>
          </w:p>
          <w:p>
            <w:pPr>
              <w:jc w:val="cente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财务</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制度</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1.财务管理内控制度是否健全规范(0.5分)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内控制度健全规范（0.5分）；内控制度不完善（0分）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2.是否制定相应的项目资金管理办法(0.5分)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已制定(0.5分)；未制定(0分)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3.项目资金管理办法是否符合财务会计制度规定(1分)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资金</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分配</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1.资金分配程序是否合规(0.5分)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合规（0.5分）；不合规（0分）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2.资金分配范围是否符合要求(0.5分)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符合要求（0.5分）；不符合要求（0分）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3.资金分配是否及时(0.5分)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及时（0.5分）；不及时（0分）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资金</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拨付</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1.资金拨付是否坚持规范的审批程序(1分)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审批程序规范(1分)；审批程序不规范(0.5分)；未审批(0分)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99"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2.资金拨付是否及时高效、简化便捷(1分)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手续便捷,及时高效(1分);手续繁杂</w:t>
            </w:r>
            <w:r>
              <w:rPr>
                <w:b/>
                <w:bCs/>
                <w:color w:val="000000"/>
                <w:sz w:val="16"/>
                <w:szCs w:val="16"/>
              </w:rPr>
              <w:t>，</w:t>
            </w:r>
            <w:r>
              <w:rPr>
                <w:color w:val="000000"/>
                <w:sz w:val="16"/>
                <w:szCs w:val="16"/>
              </w:rPr>
              <w:t>资金拨付不及时(0分)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3.是否严格执行国库集中支付和政府采购等制度(1分)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严格执行(1分)；未严格执行(0.5分)；未执行(0分)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4.是否按预算、按进度拨付资金,有无超拨欠拨(0.5分)</w:t>
            </w:r>
          </w:p>
        </w:tc>
        <w:tc>
          <w:tcPr>
            <w:tcW w:w="3257"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严格按预算按进度拨付(0.5分)；有超拨欠拨(0分)</w:t>
            </w:r>
          </w:p>
        </w:tc>
        <w:tc>
          <w:tcPr>
            <w:tcW w:w="567"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5.是否有确保项目资金安全的措施并有效执行(1分)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有措施且执行较好（1分）；有措施但落实较差（0.5分）；没有防范措施或发生资金安全事故（0分）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sz w:val="16"/>
                <w:szCs w:val="16"/>
                <w:lang w:eastAsia="zh-CN"/>
              </w:rPr>
            </w:pPr>
            <w:r>
              <w:rPr>
                <w:sz w:val="16"/>
                <w:szCs w:val="16"/>
              </w:rPr>
              <w:t>资金</w:t>
            </w:r>
          </w:p>
          <w:p>
            <w:pPr>
              <w:jc w:val="center"/>
              <w:rPr>
                <w:rFonts w:asciiTheme="minorHAnsi" w:hAnsiTheme="minorHAnsi" w:eastAsiaTheme="minorEastAsia" w:cstheme="minorBidi"/>
                <w:kern w:val="2"/>
                <w:sz w:val="16"/>
                <w:szCs w:val="16"/>
                <w:lang w:val="en-US" w:eastAsia="zh-CN" w:bidi="ar-SA"/>
              </w:rPr>
            </w:pPr>
            <w:r>
              <w:rPr>
                <w:sz w:val="16"/>
                <w:szCs w:val="16"/>
              </w:rPr>
              <w:t>使用</w:t>
            </w:r>
          </w:p>
          <w:p>
            <w:pPr>
              <w:jc w:val="cente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1.是否符合预算批复或合同规定的用途和范围(0.5分)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符合(0.5分)，有超范围或指定用途的支出发生（0分）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2.重大项目开支是否经过评估论证(0.5分)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评估论证(0.5分)；未评估论证（0分）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3.资金使用是否合法合规、真实有据(0.5分)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合法合规、真实有据(0.5分)；有违规支出或依据不真实(0分)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4.开支标准是否符合相关规定和定额管理要求(0.5分)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符合(0.5分)；不符合(0分)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5.是否存在截留、挤占、挪用、虚列支出等(0.5分)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不存在（0.5分）；存在（0分）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sz w:val="16"/>
                <w:szCs w:val="16"/>
                <w:lang w:eastAsia="zh-CN"/>
              </w:rPr>
            </w:pPr>
            <w:r>
              <w:rPr>
                <w:sz w:val="16"/>
                <w:szCs w:val="16"/>
              </w:rPr>
              <w:t>财务</w:t>
            </w:r>
          </w:p>
          <w:p>
            <w:pPr>
              <w:jc w:val="center"/>
              <w:rPr>
                <w:rFonts w:asciiTheme="minorHAnsi" w:hAnsiTheme="minorHAnsi" w:eastAsiaTheme="minorEastAsia" w:cstheme="minorBidi"/>
                <w:kern w:val="2"/>
                <w:sz w:val="16"/>
                <w:szCs w:val="16"/>
                <w:lang w:val="en-US" w:eastAsia="zh-CN" w:bidi="ar-SA"/>
              </w:rPr>
            </w:pPr>
            <w:r>
              <w:rPr>
                <w:sz w:val="16"/>
                <w:szCs w:val="16"/>
              </w:rPr>
              <w:t>监督</w:t>
            </w:r>
          </w:p>
          <w:p>
            <w:pPr>
              <w:jc w:val="cente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1.财务管理制度、项目资金管理办法是否有效执行(1分)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落实较好（1分）；落实较差（0.5）；管理混乱（0分）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2.财务管理是否规范，是否符合国家法律、法规和财务规章制度规定(0.5分)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规范（0.5分）；不规范（0分）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3.是否体现厉行节约、禁止奢侈浪费、注重资金使用效益的原则(1分)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有节支措施且执行较好（1分）；有节支措施但执行较差（0.5分）；无节支措施（0分）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4.项目资金是否单独核算并分项目建立收支台账(0.5分)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分项目单独核算(0.5分)；未对项目收支进行明细核算(0分)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5.账务处理是否及时、规范(0.5分)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账务处理及时、核算规范(0.5分)；不及时、不规范(0分)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6.会计信息是否真实、完整，管理建议是否切合实际(1分)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真实、完整（1分）；基本真实、完整（0.5分）；有虚假信息或管理建议不切合实际（0分）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目</w:t>
            </w:r>
          </w:p>
          <w:p>
            <w:pPr>
              <w:jc w:val="center"/>
              <w:rPr>
                <w:rFonts w:hint="eastAsia" w:eastAsia="宋体"/>
                <w:color w:val="000000"/>
                <w:sz w:val="16"/>
                <w:szCs w:val="16"/>
                <w:lang w:eastAsia="zh-CN"/>
              </w:rPr>
            </w:pPr>
            <w:r>
              <w:rPr>
                <w:color w:val="000000"/>
                <w:sz w:val="16"/>
                <w:szCs w:val="16"/>
              </w:rPr>
              <w:t xml:space="preserve">标 </w:t>
            </w:r>
          </w:p>
          <w:p>
            <w:pPr>
              <w:jc w:val="center"/>
              <w:rPr>
                <w:rFonts w:hint="eastAsia" w:eastAsia="宋体"/>
                <w:color w:val="000000"/>
                <w:sz w:val="16"/>
                <w:szCs w:val="16"/>
                <w:lang w:eastAsia="zh-CN"/>
              </w:rPr>
            </w:pPr>
            <w:r>
              <w:rPr>
                <w:color w:val="000000"/>
                <w:sz w:val="16"/>
                <w:szCs w:val="16"/>
              </w:rPr>
              <w:t>完</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成</w:t>
            </w:r>
          </w:p>
          <w:p>
            <w:pPr>
              <w:jc w:val="center"/>
              <w:rPr>
                <w:rFonts w:ascii="Times New Roman" w:hAnsi="Times New Roman" w:eastAsia="宋体" w:cs="Times New Roman"/>
                <w:color w:val="000000"/>
                <w:sz w:val="16"/>
                <w:szCs w:val="16"/>
              </w:rPr>
            </w:pPr>
          </w:p>
        </w:tc>
        <w:tc>
          <w:tcPr>
            <w:tcW w:w="538"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项目</w:t>
            </w:r>
          </w:p>
          <w:p>
            <w:pPr>
              <w:jc w:val="center"/>
              <w:rPr>
                <w:rFonts w:hint="eastAsia" w:eastAsia="宋体"/>
                <w:color w:val="000000"/>
                <w:sz w:val="16"/>
                <w:szCs w:val="16"/>
                <w:lang w:eastAsia="zh-CN"/>
              </w:rPr>
            </w:pPr>
            <w:r>
              <w:rPr>
                <w:color w:val="000000"/>
                <w:sz w:val="16"/>
                <w:szCs w:val="16"/>
              </w:rPr>
              <w:t>产出</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(20分)</w:t>
            </w:r>
          </w:p>
          <w:p>
            <w:pPr>
              <w:jc w:val="center"/>
              <w:rPr>
                <w:rFonts w:ascii="Times New Roman" w:hAnsi="Times New Roman" w:eastAsia="宋体" w:cs="Times New Roman"/>
                <w:color w:val="000000"/>
                <w:sz w:val="16"/>
                <w:szCs w:val="16"/>
              </w:rPr>
            </w:pPr>
          </w:p>
        </w:tc>
        <w:tc>
          <w:tcPr>
            <w:tcW w:w="580" w:type="dxa"/>
            <w:tcBorders>
              <w:top w:val="single" w:color="000000" w:sz="4" w:space="0"/>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数量</w:t>
            </w:r>
          </w:p>
          <w:p>
            <w:pPr>
              <w:jc w:val="center"/>
              <w:rPr>
                <w:rFonts w:hint="eastAsia" w:eastAsia="宋体"/>
                <w:color w:val="000000"/>
                <w:sz w:val="16"/>
                <w:szCs w:val="16"/>
                <w:lang w:eastAsia="zh-CN"/>
              </w:rPr>
            </w:pPr>
            <w:r>
              <w:rPr>
                <w:color w:val="000000"/>
                <w:sz w:val="16"/>
                <w:szCs w:val="16"/>
              </w:rPr>
              <w:t>完成</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程度</w:t>
            </w:r>
          </w:p>
        </w:tc>
        <w:tc>
          <w:tcPr>
            <w:tcW w:w="2587" w:type="dxa"/>
            <w:tcBorders>
              <w:top w:val="single" w:color="000000"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产出数量完成率（用T表示），即项目实施的实际产出数量与计划产出数量的比率，反映项目产出数量目标的实现程度(5分)</w:t>
            </w:r>
          </w:p>
        </w:tc>
        <w:tc>
          <w:tcPr>
            <w:tcW w:w="3257" w:type="dxa"/>
            <w:tcBorders>
              <w:top w:val="single" w:color="000000" w:sz="4" w:space="0"/>
              <w:left w:val="nil"/>
              <w:bottom w:val="single" w:color="auto" w:sz="4" w:space="0"/>
              <w:right w:val="single" w:color="auto" w:sz="4" w:space="0"/>
            </w:tcBorders>
            <w:shd w:val="clear" w:color="auto" w:fill="auto"/>
            <w:vAlign w:val="center"/>
          </w:tcPr>
          <w:p>
            <w:pPr>
              <w:rPr>
                <w:rFonts w:hint="eastAsia" w:eastAsia="宋体"/>
                <w:color w:val="000000"/>
                <w:sz w:val="16"/>
                <w:szCs w:val="16"/>
                <w:lang w:eastAsia="zh-CN"/>
              </w:rPr>
            </w:pPr>
            <w:r>
              <w:rPr>
                <w:color w:val="000000"/>
                <w:sz w:val="16"/>
                <w:szCs w:val="16"/>
              </w:rPr>
              <w:t>T≥100%(5分)；90%≤T＜100%(3分）</w:t>
            </w:r>
            <w:r>
              <w:rPr>
                <w:b/>
                <w:bCs/>
                <w:color w:val="000000"/>
                <w:sz w:val="16"/>
                <w:szCs w:val="16"/>
              </w:rPr>
              <w:t>；</w:t>
            </w:r>
            <w:r>
              <w:rPr>
                <w:color w:val="000000"/>
                <w:sz w:val="16"/>
                <w:szCs w:val="16"/>
              </w:rPr>
              <w:t>80%≤T＜90%(2分）</w:t>
            </w:r>
          </w:p>
          <w:p>
            <w:pPr>
              <w:rPr>
                <w:rFonts w:asciiTheme="minorHAnsi" w:hAnsiTheme="minorHAnsi" w:eastAsiaTheme="minorEastAsia" w:cstheme="minorBidi"/>
                <w:color w:val="000000"/>
                <w:kern w:val="2"/>
                <w:sz w:val="16"/>
                <w:szCs w:val="16"/>
                <w:lang w:val="en-US" w:eastAsia="zh-CN" w:bidi="ar-SA"/>
              </w:rPr>
            </w:pPr>
            <w:r>
              <w:rPr>
                <w:color w:val="000000"/>
                <w:sz w:val="16"/>
                <w:szCs w:val="16"/>
              </w:rPr>
              <w:t>；T＜80%(0分）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质量</w:t>
            </w:r>
          </w:p>
          <w:p>
            <w:pPr>
              <w:jc w:val="center"/>
              <w:rPr>
                <w:rFonts w:hint="eastAsia" w:eastAsia="宋体"/>
                <w:color w:val="000000"/>
                <w:sz w:val="16"/>
                <w:szCs w:val="16"/>
                <w:lang w:eastAsia="zh-CN"/>
              </w:rPr>
            </w:pPr>
            <w:r>
              <w:rPr>
                <w:color w:val="000000"/>
                <w:sz w:val="16"/>
                <w:szCs w:val="16"/>
              </w:rPr>
              <w:t>完成</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质量达标率（用S表示），即项目完成的质量达标产出数与实际产出数的比率，反映项目产出质量目标的实现程度(5分)</w:t>
            </w:r>
          </w:p>
        </w:tc>
        <w:tc>
          <w:tcPr>
            <w:tcW w:w="325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6"/>
                <w:szCs w:val="16"/>
                <w:lang w:eastAsia="zh-CN"/>
              </w:rPr>
            </w:pPr>
            <w:r>
              <w:rPr>
                <w:color w:val="000000"/>
                <w:sz w:val="16"/>
                <w:szCs w:val="16"/>
              </w:rPr>
              <w:t>S≥95%(5分)；90%≤S＜95%(3分）；80%≤S＜90%(2分）</w:t>
            </w:r>
          </w:p>
          <w:p>
            <w:pPr>
              <w:rPr>
                <w:rFonts w:asciiTheme="minorHAnsi" w:hAnsiTheme="minorHAnsi" w:eastAsiaTheme="minorEastAsia" w:cstheme="minorBidi"/>
                <w:color w:val="000000"/>
                <w:kern w:val="2"/>
                <w:sz w:val="16"/>
                <w:szCs w:val="16"/>
                <w:lang w:val="en-US" w:eastAsia="zh-CN" w:bidi="ar-SA"/>
              </w:rPr>
            </w:pPr>
            <w:r>
              <w:rPr>
                <w:color w:val="000000"/>
                <w:sz w:val="16"/>
                <w:szCs w:val="16"/>
              </w:rPr>
              <w:t>；S＜80%(0分）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时效</w:t>
            </w:r>
          </w:p>
          <w:p>
            <w:pPr>
              <w:jc w:val="center"/>
              <w:rPr>
                <w:rFonts w:hint="eastAsia" w:eastAsia="宋体"/>
                <w:color w:val="000000"/>
                <w:sz w:val="16"/>
                <w:szCs w:val="16"/>
                <w:lang w:eastAsia="zh-CN"/>
              </w:rPr>
            </w:pPr>
            <w:r>
              <w:rPr>
                <w:color w:val="000000"/>
                <w:sz w:val="16"/>
                <w:szCs w:val="16"/>
              </w:rPr>
              <w:t>完成</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完成及时率(用H表示），即项目实际提前完成时间与计划完成时间的比率，反映项目产出时效目标的实现程度(5分)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H≥0（5分）；H＜0(0分）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投资</w:t>
            </w:r>
          </w:p>
          <w:p>
            <w:pPr>
              <w:jc w:val="center"/>
              <w:rPr>
                <w:rFonts w:hint="eastAsia" w:eastAsia="宋体"/>
                <w:color w:val="000000"/>
                <w:sz w:val="16"/>
                <w:szCs w:val="16"/>
                <w:lang w:eastAsia="zh-CN"/>
              </w:rPr>
            </w:pPr>
            <w:r>
              <w:rPr>
                <w:color w:val="000000"/>
                <w:sz w:val="16"/>
                <w:szCs w:val="16"/>
              </w:rPr>
              <w:t>控制</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投资节约额（用N表示），即完成项目预定目标的实际投资节约额与预定投资额的比率；反映项目投资控制的效果(5分)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N≥0（5分）；-10%≤N＜0(3分）；N＜-10%(0分）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w:t>
            </w:r>
          </w:p>
          <w:p>
            <w:pPr>
              <w:jc w:val="center"/>
              <w:rPr>
                <w:rFonts w:hint="eastAsia" w:eastAsia="宋体"/>
                <w:color w:val="000000"/>
                <w:sz w:val="16"/>
                <w:szCs w:val="16"/>
                <w:lang w:eastAsia="zh-CN"/>
              </w:rPr>
            </w:pPr>
            <w:r>
              <w:rPr>
                <w:color w:val="000000"/>
                <w:sz w:val="16"/>
                <w:szCs w:val="16"/>
              </w:rPr>
              <w:t>目</w:t>
            </w:r>
          </w:p>
          <w:p>
            <w:pPr>
              <w:jc w:val="center"/>
              <w:rPr>
                <w:rFonts w:hint="eastAsia" w:eastAsia="宋体"/>
                <w:color w:val="000000"/>
                <w:sz w:val="16"/>
                <w:szCs w:val="16"/>
                <w:lang w:eastAsia="zh-CN"/>
              </w:rPr>
            </w:pPr>
            <w:r>
              <w:rPr>
                <w:color w:val="000000"/>
                <w:sz w:val="16"/>
                <w:szCs w:val="16"/>
              </w:rPr>
              <w:t>效</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果</w:t>
            </w:r>
          </w:p>
          <w:p>
            <w:pPr>
              <w:jc w:val="center"/>
              <w:rPr>
                <w:rFonts w:ascii="Times New Roman" w:hAnsi="Times New Roman" w:eastAsia="宋体" w:cs="Times New Roman"/>
                <w:color w:val="000000"/>
                <w:sz w:val="16"/>
                <w:szCs w:val="16"/>
              </w:rPr>
            </w:pP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项目</w:t>
            </w:r>
          </w:p>
          <w:p>
            <w:pPr>
              <w:jc w:val="center"/>
              <w:rPr>
                <w:rFonts w:hint="eastAsia" w:eastAsia="宋体"/>
                <w:color w:val="000000"/>
                <w:sz w:val="16"/>
                <w:szCs w:val="16"/>
                <w:lang w:eastAsia="zh-CN"/>
              </w:rPr>
            </w:pPr>
            <w:r>
              <w:rPr>
                <w:color w:val="000000"/>
                <w:sz w:val="16"/>
                <w:szCs w:val="16"/>
              </w:rPr>
              <w:t>效益</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(30分)</w:t>
            </w:r>
          </w:p>
          <w:p>
            <w:pPr>
              <w:jc w:val="cente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经济</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项目实施对经济发展所带来的直接或间接影响(6分)</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根据各项目具体特点不同相应设定相应的个性化评价指标和评价标准</w:t>
            </w:r>
          </w:p>
          <w:p>
            <w:pPr>
              <w:rPr>
                <w:rFonts w:ascii="Times New Roman" w:hAnsi="Times New Roman" w:eastAsia="宋体" w:cs="Times New Roman"/>
                <w:color w:val="000000"/>
                <w:sz w:val="16"/>
                <w:szCs w:val="16"/>
              </w:rPr>
            </w:pP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lang w:val="en-US" w:eastAsia="zh-CN"/>
              </w:rPr>
              <w:t>20</w:t>
            </w:r>
            <w:r>
              <w:rPr>
                <w:rFonts w:ascii="Times New Roman" w:hAnsi="Times New Roman" w:eastAsia="宋体" w:cs="Times New Roman"/>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社会</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项目实施对社会发展所带来的直接或间接影响(6分)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生态</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项目实施对生态环境所带来的直接或间接影响(6分)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可持续</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影响</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项目后续运行及成效发挥的可持续影响(6分)</w:t>
            </w:r>
          </w:p>
        </w:tc>
        <w:tc>
          <w:tcPr>
            <w:tcW w:w="325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heme="minorHAnsi" w:hAnsiTheme="minorHAnsi" w:eastAsiaTheme="minorEastAsia" w:cstheme="minorBidi"/>
                <w:color w:val="000000"/>
                <w:kern w:val="2"/>
                <w:sz w:val="16"/>
                <w:szCs w:val="16"/>
                <w:lang w:val="en-US" w:eastAsia="zh-CN" w:bidi="ar-SA"/>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6"/>
                <w:szCs w:val="16"/>
                <w:lang w:val="en-US" w:eastAsia="zh-CN" w:bidi="ar-SA"/>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社会满意程度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社会满意程度（用R表示），即社会公众或服务对象对项目实施效果的满意程度(6分)</w:t>
            </w:r>
          </w:p>
        </w:tc>
        <w:tc>
          <w:tcPr>
            <w:tcW w:w="325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6"/>
                <w:szCs w:val="16"/>
                <w:lang w:eastAsia="zh-CN"/>
              </w:rPr>
            </w:pPr>
            <w:r>
              <w:rPr>
                <w:color w:val="000000"/>
                <w:sz w:val="16"/>
                <w:szCs w:val="16"/>
              </w:rPr>
              <w:t>R≥90%（6分）；80%≤R＜90%(4分）；70%≤R＜80%(2分）</w:t>
            </w:r>
          </w:p>
          <w:p>
            <w:pPr>
              <w:rPr>
                <w:rFonts w:asciiTheme="minorHAnsi" w:hAnsiTheme="minorHAnsi" w:eastAsiaTheme="minorEastAsia" w:cstheme="minorBidi"/>
                <w:color w:val="000000"/>
                <w:kern w:val="2"/>
                <w:sz w:val="16"/>
                <w:szCs w:val="16"/>
                <w:lang w:val="en-US" w:eastAsia="zh-CN" w:bidi="ar-SA"/>
              </w:rPr>
            </w:pPr>
            <w:r>
              <w:rPr>
                <w:color w:val="000000"/>
                <w:sz w:val="16"/>
                <w:szCs w:val="16"/>
              </w:rPr>
              <w:t>；R＜70%(0分）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6</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720" w:hRule="atLeast"/>
        </w:trPr>
        <w:tc>
          <w:tcPr>
            <w:tcW w:w="1699"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扣分项（-5分）</w:t>
            </w:r>
          </w:p>
        </w:tc>
        <w:tc>
          <w:tcPr>
            <w:tcW w:w="2587" w:type="dxa"/>
            <w:tcBorders>
              <w:top w:val="single" w:color="auto" w:sz="4" w:space="0"/>
              <w:left w:val="nil"/>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被评价单位配合评价工作情况</w:t>
            </w:r>
          </w:p>
        </w:tc>
        <w:tc>
          <w:tcPr>
            <w:tcW w:w="3257" w:type="dxa"/>
            <w:tcBorders>
              <w:top w:val="nil"/>
              <w:left w:val="nil"/>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5"/>
                <w:szCs w:val="15"/>
                <w:lang w:val="en-US" w:eastAsia="zh-CN" w:bidi="ar-SA"/>
              </w:rPr>
            </w:pPr>
            <w:r>
              <w:rPr>
                <w:color w:val="000000"/>
                <w:sz w:val="15"/>
                <w:szCs w:val="15"/>
              </w:rPr>
              <w:t>财政重点评价过程中，发现评价对</w:t>
            </w:r>
            <w:r>
              <w:rPr>
                <w:rFonts w:hint="eastAsia"/>
                <w:color w:val="000000"/>
                <w:sz w:val="15"/>
                <w:szCs w:val="15"/>
                <w:lang w:eastAsia="zh-CN"/>
              </w:rPr>
              <w:t>象</w:t>
            </w:r>
            <w:r>
              <w:rPr>
                <w:color w:val="000000"/>
                <w:sz w:val="15"/>
                <w:szCs w:val="15"/>
              </w:rPr>
              <w:t>拖延推诿、提交资料不及时等不配合评价工作的，经报</w:t>
            </w:r>
            <w:r>
              <w:rPr>
                <w:rFonts w:hint="eastAsia"/>
                <w:color w:val="000000"/>
                <w:sz w:val="15"/>
                <w:szCs w:val="15"/>
                <w:lang w:val="en-US" w:eastAsia="zh-CN"/>
              </w:rPr>
              <w:t>县</w:t>
            </w:r>
            <w:r>
              <w:rPr>
                <w:color w:val="000000"/>
                <w:sz w:val="15"/>
                <w:szCs w:val="15"/>
              </w:rPr>
              <w:t>财政局确认后每次扣1分，最高扣5分</w:t>
            </w:r>
          </w:p>
        </w:tc>
        <w:tc>
          <w:tcPr>
            <w:tcW w:w="567" w:type="dxa"/>
            <w:tcBorders>
              <w:top w:val="nil"/>
              <w:left w:val="nil"/>
              <w:bottom w:val="single" w:color="000000" w:sz="4" w:space="0"/>
              <w:right w:val="single" w:color="auto" w:sz="4" w:space="0"/>
            </w:tcBorders>
            <w:shd w:val="clear" w:color="auto" w:fill="auto"/>
            <w:noWrap/>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w:t>
            </w:r>
          </w:p>
        </w:tc>
        <w:tc>
          <w:tcPr>
            <w:tcW w:w="833" w:type="dxa"/>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p>
            <w:pPr>
              <w:rPr>
                <w:rFonts w:ascii="Times New Roman" w:hAnsi="Times New Roman" w:eastAsia="宋体" w:cs="Times New Roman"/>
                <w:color w:val="000000"/>
                <w:sz w:val="22"/>
                <w:szCs w:val="22"/>
              </w:rPr>
            </w:pPr>
          </w:p>
          <w:p>
            <w:pPr>
              <w:rPr>
                <w:rFonts w:ascii="Times New Roman" w:hAnsi="Times New Roman" w:eastAsia="宋体" w:cs="Times New Roman"/>
                <w:color w:val="000000"/>
                <w:sz w:val="22"/>
                <w:szCs w:val="22"/>
              </w:rPr>
            </w:pPr>
          </w:p>
        </w:tc>
      </w:tr>
    </w:tbl>
    <w:p>
      <w:pPr>
        <w:widowControl w:val="0"/>
        <w:spacing w:before="93" w:beforeLines="30"/>
        <w:ind w:firstLine="640" w:firstLineChars="200"/>
        <w:jc w:val="both"/>
        <w:rPr>
          <w:rFonts w:ascii="Times New Roman" w:hAnsi="Times New Roman" w:eastAsia="方正仿宋简体" w:cs="Times New Roman"/>
          <w:kern w:val="0"/>
          <w:sz w:val="32"/>
          <w:szCs w:val="32"/>
          <w:lang w:val="en-US" w:eastAsia="zh-CN" w:bidi="ar-SA"/>
        </w:rPr>
      </w:pPr>
    </w:p>
    <w:p/>
    <w:sectPr>
      <w:pgSz w:w="11906" w:h="16838"/>
      <w:pgMar w:top="2098" w:right="1361" w:bottom="1814" w:left="1644" w:header="851"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NDkxYzkwZTljYzI4OTc4MzVhZWU2Y2Y0MTU3ZWEifQ=="/>
  </w:docVars>
  <w:rsids>
    <w:rsidRoot w:val="1F5D08D3"/>
    <w:rsid w:val="194B3D17"/>
    <w:rsid w:val="1F5D08D3"/>
    <w:rsid w:val="4E7423D8"/>
    <w:rsid w:val="5251733A"/>
    <w:rsid w:val="678F31FC"/>
    <w:rsid w:val="786D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4165</Words>
  <Characters>4670</Characters>
  <Lines>0</Lines>
  <Paragraphs>0</Paragraphs>
  <TotalTime>1</TotalTime>
  <ScaleCrop>false</ScaleCrop>
  <LinksUpToDate>false</LinksUpToDate>
  <CharactersWithSpaces>4746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2024-06-11T04:03:00Z</dcterms:created>
  <dc:creator>llll</dc:creator>
  <cp:lastModifiedBy>天涯</cp:lastModifiedBy>
  <dcterms:modified xsi:type="dcterms:W3CDTF">2024-06-11T08:25:44Z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AA32A5A9CF1F4C8F8C85F8D75DA88900_11</vt:lpwstr>
  </property>
</Properties>
</file>