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tabs>
          <w:tab w:val="left" w:pos="1952"/>
        </w:tabs>
        <w:spacing w:line="600" w:lineRule="exact"/>
        <w:jc w:val="center"/>
        <w:outlineLvl w:val="0"/>
        <w:rPr>
          <w:rStyle w:val="1Char"/>
          <w:rFonts w:ascii="方正小标宋简体" w:eastAsia="方正小标宋简体" w:cs="方正小标宋简体" w:hAnsi="方正小标宋简体" w:hint="eastAsia"/>
        </w:rPr>
      </w:pPr>
      <w:r>
        <w:rPr>
          <w:rFonts w:ascii="方正小标宋简体" w:eastAsia="方正小标宋简体" w:cs="方正小标宋简体" w:hAnsi="方正小标宋简体" w:hint="eastAsia"/>
          <w:sz w:val="44"/>
          <w:szCs w:val="44"/>
        </w:rPr>
        <w:t>第</w:t>
      </w:r>
      <w:r>
        <w:rPr>
          <w:rStyle w:val="1Char"/>
          <w:rFonts w:ascii="方正小标宋简体" w:eastAsia="方正小标宋简体" w:cs="方正小标宋简体" w:hAnsi="方正小标宋简体" w:hint="eastAsia"/>
        </w:rPr>
        <w:t>四部分 附件</w:t>
      </w:r>
    </w:p>
    <w:tbl>
      <w:tblPr>
        <w:jc w:val="left"/>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64"/>
        <w:gridCol w:w="581"/>
        <w:gridCol w:w="832"/>
        <w:gridCol w:w="1519"/>
        <w:gridCol w:w="396"/>
        <w:gridCol w:w="1055"/>
        <w:gridCol w:w="769"/>
        <w:gridCol w:w="994"/>
        <w:gridCol w:w="551"/>
        <w:gridCol w:w="551"/>
        <w:gridCol w:w="925"/>
      </w:tblGrid>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580"/>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51192221T000000166268-新媒体“掌上南江”运行费</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kern w:val="0"/>
                <w:sz w:val="18"/>
                <w:szCs w:val="18"/>
              </w:rPr>
            </w:pPr>
            <w:r>
              <w:rPr>
                <w:rFonts w:ascii="宋体" w:cs="宋体" w:hAnsi="宋体" w:hint="eastAsia"/>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207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预计南江用户40余万户，在外用户8万用户，日均流量达到4万至5万次。让所有用户第一时间了解南江大事、时事和天一事的重要平台。让在外南江人和全县人民随时知晓</w:t>
            </w:r>
            <w:r>
              <w:rPr>
                <w:rFonts w:ascii="宋体" w:cs="宋体" w:hAnsi="宋体"/>
                <w:color w:val="000000"/>
                <w:kern w:val="0"/>
                <w:sz w:val="18"/>
                <w:szCs w:val="18"/>
                <w:lang w:val="en-US"/>
              </w:rPr>
              <w:t>县委县政府</w:t>
            </w:r>
            <w:r>
              <w:rPr>
                <w:rFonts w:ascii="宋体" w:cs="宋体" w:hAnsi="宋体" w:hint="eastAsia"/>
                <w:color w:val="000000"/>
                <w:kern w:val="0"/>
                <w:sz w:val="18"/>
                <w:szCs w:val="18"/>
              </w:rPr>
              <w:t>的决策部署，凝聚全民建县正能量。</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完成南江用户40余万户，在外用户8万用户，日均流量达到4万至5万次。让所有用户第一时间了解南江大事、时事和天一事的重要平台。让在外南江人和全县人民随时知晓</w:t>
            </w:r>
            <w:r>
              <w:rPr>
                <w:rFonts w:ascii="黑体" w:cs="宋体" w:hAnsi="黑体"/>
                <w:color w:val="000000"/>
                <w:kern w:val="0"/>
                <w:sz w:val="18"/>
                <w:szCs w:val="18"/>
                <w:lang w:val="en-US"/>
              </w:rPr>
              <w:t>县委县政府</w:t>
            </w:r>
            <w:r>
              <w:rPr>
                <w:rFonts w:ascii="黑体" w:cs="宋体" w:hAnsi="黑体"/>
                <w:color w:val="000000"/>
                <w:kern w:val="0"/>
                <w:sz w:val="18"/>
                <w:szCs w:val="18"/>
              </w:rPr>
              <w:t>的决策部署，凝聚全民建县正能量。</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新媒体“掌上南江”运行费项目 ，2023年在新媒体“掌上南江”APP推出采编人员原创图文更新1800条，川台转载1800余条， 南江新闻视频2520余个，南江广播节目音频传播1900余条，现场直播12场，部门乡镇图文信息传播3000余条， 公益短片传播50余个等</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18.00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18.00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18.00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18.00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18.00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18.00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移动客户端APP应用下载量</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43</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万人</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23</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23</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报道点击率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万次</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17</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17</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2023年1月—12月</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月</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90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让在外南江人和全县人民随时知晓</w:t>
            </w:r>
            <w:r>
              <w:rPr>
                <w:rFonts w:ascii="宋体" w:cs="宋体" w:hAnsi="宋体"/>
                <w:color w:val="000000"/>
                <w:kern w:val="0"/>
                <w:sz w:val="18"/>
                <w:szCs w:val="18"/>
                <w:lang w:val="en-US"/>
              </w:rPr>
              <w:t>县委县政府</w:t>
            </w:r>
            <w:r>
              <w:rPr>
                <w:rFonts w:ascii="宋体" w:cs="宋体" w:hAnsi="宋体" w:hint="eastAsia"/>
                <w:color w:val="000000"/>
                <w:kern w:val="0"/>
                <w:sz w:val="18"/>
                <w:szCs w:val="18"/>
              </w:rPr>
              <w:t>的决策部署，凝聚全民建县正能量。</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7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传播正能量，提高公民道德素质和城市文明程度，凝聚全民建县正能量。</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群众满意度</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成本指标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经济成本指标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完成此项宽带专线使用、差旅费等21万元</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863"/>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该项目自评得分100分，通过该项目实施提高了单位采编人员拍摄技术和创作能力，同时为凝聚全民建县正能量，推动县域经济发展营造了良好氛围。</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w:t>
            </w:r>
            <w:bookmarkStart w:id="0" w:name="_GoBack"/>
            <w:bookmarkEnd w:id="0"/>
            <w:r>
              <w:rPr>
                <w:rFonts w:ascii="黑体" w:eastAsia="黑体" w:cs="宋体" w:hAnsi="黑体" w:hint="eastAsia"/>
                <w:b/>
                <w:bCs/>
                <w:color w:val="000000"/>
                <w:kern w:val="0"/>
                <w:sz w:val="30"/>
                <w:szCs w:val="30"/>
              </w:rPr>
              <w:t>绩效自评表（2023年度）</w:t>
            </w:r>
          </w:p>
        </w:tc>
      </w:tr>
      <w:tr>
        <w:trPr>
          <w:trHeight w:val="542"/>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51192221T000000166315-市“阳光问政”节目传输设备运行维护经费</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90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2023年完成巴中市广播电视台“阳光问政”节目4场次传输，做好节目传输设备运行维护。2、服务南江经济发展，聚焦南江热点重点工作宣传，为南江又好又快发展营造良好环境。3、提高领导的思想道德水平和政治水平。　</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2023年完成巴中市广播电视台“阳光问政”节目4场次传输，做好节目传输设备运行维护。服务南江县域经济发展，提高全县领导干部的执政能力。</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2023年完成巴中市广播电视台“阳光问政”节目4场次传输</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报道期数</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场次</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18</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18</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画面清晰，内容紧扣社会热点，教育意义深刻</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19</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19</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2023年1月至12月完成此项目</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月</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138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服务南江经济发展，聚焦南江热点重点工作宣传，坚持生态优先、综合施策，生态持续巩固发展营造良好环境。</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72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传播正能量，提高公民道德素质和城市文明程度</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群众满意度</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成本指标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经济成本指标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完成4场次节目传输需资金4万元</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775"/>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该项目自评得分100分，通过项目实施使全县领导干部加强了法律法规和纪律意识，提高了执政能力和政治素质。</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p>
            <w:pPr>
              <w:widowControl/>
              <w:suppressAutoHyphens w:val="0"/>
              <w:jc w:val="left"/>
              <w:rPr>
                <w:rFonts w:ascii="宋体" w:cs="宋体" w:hAnsi="宋体"/>
                <w:kern w:val="0"/>
                <w:sz w:val="18"/>
                <w:szCs w:val="18"/>
              </w:rPr>
            </w:pPr>
          </w:p>
          <w:p>
            <w:pPr>
              <w:widowControl/>
              <w:suppressAutoHyphens w:val="0"/>
              <w:jc w:val="left"/>
              <w:rPr>
                <w:rFonts w:ascii="宋体" w:cs="宋体" w:hAnsi="宋体"/>
                <w:kern w:val="0"/>
                <w:sz w:val="18"/>
                <w:szCs w:val="18"/>
              </w:rPr>
            </w:pPr>
          </w:p>
          <w:p>
            <w:pPr>
              <w:widowControl/>
              <w:suppressAutoHyphens w:val="0"/>
              <w:jc w:val="left"/>
              <w:rPr>
                <w:rFonts w:ascii="宋体" w:cs="宋体" w:hAnsi="宋体"/>
                <w:kern w:val="0"/>
                <w:sz w:val="18"/>
                <w:szCs w:val="18"/>
              </w:rPr>
            </w:pPr>
          </w:p>
          <w:p>
            <w:pPr>
              <w:widowControl/>
              <w:suppressAutoHyphens w:val="0"/>
              <w:jc w:val="left"/>
              <w:rPr>
                <w:rFonts w:ascii="宋体" w:cs="宋体" w:hAnsi="宋体"/>
                <w:kern w:val="0"/>
                <w:sz w:val="18"/>
                <w:szCs w:val="18"/>
              </w:rPr>
            </w:pPr>
          </w:p>
          <w:p>
            <w:pPr>
              <w:widowControl/>
              <w:suppressAutoHyphens w:val="0"/>
              <w:jc w:val="left"/>
              <w:rPr>
                <w:rFonts w:ascii="宋体" w:cs="宋体" w:hAnsi="宋体"/>
                <w:kern w:val="0"/>
                <w:sz w:val="18"/>
                <w:szCs w:val="18"/>
              </w:rPr>
            </w:pPr>
          </w:p>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579"/>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51192221T000000166348-政务宣传经费</w:t>
            </w:r>
          </w:p>
        </w:tc>
      </w:tr>
      <w:tr>
        <w:trPr>
          <w:trHeight w:val="808"/>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4491"/>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rPr>
              <w:t>政务宣传工作经费主要包括《阳光政务》、《清风南江》等广播电视栏目，总体目标如下：</w:t>
            </w:r>
          </w:p>
          <w:p>
            <w:pPr>
              <w:widowControl/>
              <w:suppressAutoHyphens w:val="0"/>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rPr>
              <w:t>1、《阳光政务》栏目总体目标</w:t>
            </w:r>
          </w:p>
          <w:p>
            <w:pPr>
              <w:widowControl/>
              <w:suppressAutoHyphens w:val="0"/>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rPr>
              <w:t xml:space="preserve">  把《阳光政务》栏目办成密切党群干群关系的“连心桥”、化解社会矛盾的“减压阀”、推进政务公开的“监督岗”，促进“统筹城乡、跨越赶超”强大的舆论支持和精神动力。</w:t>
            </w:r>
          </w:p>
          <w:p>
            <w:pPr>
              <w:widowControl/>
              <w:suppressAutoHyphens w:val="0"/>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rPr>
              <w:t>2、《清风南江》栏目总体目标</w:t>
            </w:r>
          </w:p>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努力营造为政清简、政治清明、作风清新、为官清廉良好氛围的好经验和好做法，为广在干部群众了解纪检监察工作和反腐倡廉成果搭建平台。展示南江反腐倡廉建设工作成效，</w:t>
            </w:r>
            <w:r>
              <w:rPr>
                <w:rFonts w:ascii="宋体" w:cs="宋体" w:hAnsi="宋体" w:hint="eastAsia"/>
                <w:color w:val="000000"/>
                <w:kern w:val="0"/>
                <w:sz w:val="18"/>
                <w:szCs w:val="18"/>
                <w:lang w:eastAsia="zh-CN"/>
              </w:rPr>
              <w:t>全方位</w:t>
            </w:r>
            <w:r>
              <w:rPr>
                <w:rFonts w:ascii="宋体" w:cs="宋体" w:hAnsi="宋体" w:hint="eastAsia"/>
                <w:color w:val="000000"/>
                <w:kern w:val="0"/>
                <w:sz w:val="18"/>
                <w:szCs w:val="18"/>
              </w:rPr>
              <w:t>搭建党风廉政建设大宣传格局。宣传党的路线、方针、政策，在党风廉政建设、反腐工作重大决策和部署以及县委、</w:t>
            </w:r>
            <w:r>
              <w:rPr>
                <w:rFonts w:ascii="宋体" w:cs="宋体" w:hAnsi="宋体" w:hint="eastAsia"/>
                <w:color w:val="000000"/>
                <w:kern w:val="0"/>
                <w:sz w:val="18"/>
                <w:szCs w:val="18"/>
                <w:lang w:eastAsia="zh-CN"/>
              </w:rPr>
              <w:t>县</w:t>
            </w:r>
            <w:r>
              <w:rPr>
                <w:rFonts w:ascii="宋体" w:cs="宋体" w:hAnsi="宋体" w:hint="eastAsia"/>
                <w:color w:val="000000"/>
                <w:kern w:val="0"/>
                <w:sz w:val="18"/>
                <w:szCs w:val="18"/>
              </w:rPr>
              <w:t>政府着力营造风清气正新南江。</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2023年完成《阳光政务》、《清风南江》等广播电视栏目48期，案例取材典型，教育深刻，在社会取得了良好的反响。</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2023年1-12月融媒体中心社会教育组采编人员实施政务宣传栏《阳光政务》、《清风南江》等广播电视栏目共计48期，并在南江电视台专题节目中播出，为南江经济的健康发展保驾护航，为社会文明新风营造了良好的政治环境。</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专题栏目</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48</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期</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112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宣传党的路线、方针、政策，在党风廉政建设、反腐工作重大决策和部署以及</w:t>
            </w:r>
            <w:r>
              <w:rPr>
                <w:rFonts w:ascii="宋体" w:cs="宋体" w:hAnsi="宋体"/>
                <w:color w:val="000000"/>
                <w:kern w:val="0"/>
                <w:sz w:val="18"/>
                <w:szCs w:val="18"/>
                <w:lang w:val="en-US"/>
              </w:rPr>
              <w:t>县委县政府</w:t>
            </w:r>
            <w:r>
              <w:rPr>
                <w:rFonts w:ascii="宋体" w:cs="宋体" w:hAnsi="宋体" w:hint="eastAsia"/>
                <w:color w:val="000000"/>
                <w:kern w:val="0"/>
                <w:sz w:val="18"/>
                <w:szCs w:val="18"/>
              </w:rPr>
              <w:t>着力营造风清气正新南江。</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582"/>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2023年1月至12月完成此项任务</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月</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135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营造为政清简、政治清明、作风清新、为官清廉良好氛围的好经验和好做法，为广在干部群众了解纪检监察工作和反腐倡廉成果搭建平台。</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1583"/>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栏目办成密切党群干群关系的“连心桥”、化解社会矛盾的“减压阀”、推进政务公开的“监督岗”，促进“统筹城乡、跨越赶超”强大的舆论支持和精神动力</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群众满意度</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成本指标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经济成本指标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完成此项任务需资金10万元</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政务宣传经费自评总分100分，实施政务宣传栏《阳光政务》、《清风南江》等广播电视栏目共计48期，，保障南江经济的健康发展，为社会文明新风营造了良好的政治环境。</w:t>
            </w:r>
          </w:p>
        </w:tc>
      </w:tr>
      <w:tr>
        <w:trPr>
          <w:trHeight w:val="559"/>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42"/>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51192221T000000166368-重点宣传工作经费</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2802"/>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xml:space="preserve">   为县政府“生态立县、文旅强县、和美善治、同步振兴”的发展战略舆论支持、精神动力和文化环境，为决战脱贫攻坚、全面建成富丽安康新南江营造良好的社会氛围，为推进南江经济社会又好又快发展提供有力的思想保证。</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2023年一是着力提升对内宣传影响力，二是着力打造对外宣传精品，为南江政治稳定、文化旅游经济发展，提供强有力的支撑。</w:t>
            </w:r>
          </w:p>
        </w:tc>
      </w:tr>
      <w:tr>
        <w:trPr>
          <w:trHeight w:val="1002"/>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开设《直击项目一线 》、《工业经济挑大梁》、《丰收“钱”景》等专栏，播出《2023年度重点工作目标公开承诺》70期。全年中心各平台推出各类稿件18000多条次，摄制纪录片2部、专题汇报片22部，掌上南江APP、微信公众号、视频号信息浏览量达1万+的有86条以上；10万+的共21条。在央视各平台用稿共计29条，省台用稿共计155条，市台用稿共计364条，在国家、省级平面媒体</w:t>
            </w:r>
            <w:r>
              <w:rPr>
                <w:rFonts w:ascii="宋体" w:cs="宋体" w:hAnsi="宋体" w:hint="eastAsia"/>
                <w:color w:val="000000"/>
                <w:kern w:val="0"/>
                <w:sz w:val="18"/>
                <w:szCs w:val="18"/>
                <w:lang w:eastAsia="zh-CN"/>
              </w:rPr>
              <w:t>用</w:t>
            </w:r>
            <w:r>
              <w:rPr>
                <w:rFonts w:ascii="宋体" w:cs="宋体" w:hAnsi="宋体" w:hint="eastAsia"/>
                <w:color w:val="000000"/>
                <w:kern w:val="0"/>
                <w:sz w:val="18"/>
                <w:szCs w:val="18"/>
              </w:rPr>
              <w:t>稿128条。提升了对内宣传影响力，助力全县产业发展、工业经济、项目建设、招商引资、乡村振兴、民生等重点项目工作的发展。</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稿件发稿量</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4200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条</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13</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13</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112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发布高画质媒体专题 、广播专版、电视专栏25个，为推进南江经济稳定发展提供有力的思想保证。</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19</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19</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2023年1月至2023年12月</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月</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112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凝聚全县人民力量建设南江，助力脱贫攻坚、乡村振兴、繁荣文化、疫情防控，幸福新南江营造良好的舆论氛围。，</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可持续影响指标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全县人民群众精神生活水平提升，幸福指数提高。</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7</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7</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服务对象满意度指标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95</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7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成本指标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经济成本指标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完成此项任务，需下乡拍摄采访2000多人次，需资金25万元</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16</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16</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说明项目自评总分100分，项目实施取得提升了对外宣传的影响力，树立了宣传精品意识，为县 政府“生态立县、文旅强县、和美善治、同步振兴”的发展战略舆论支持、精神动力和文化环境。</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440"/>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51192221Y000000030263-在职人员公用经费</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提高预算编制质量，严格执行预算，保障单位日常运转。</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2023年保障单位日常运转，完成目标工作任务。</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28.80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28.58</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28.58</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28.80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28.58</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28.58</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科目调整次数</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次</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7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预算编制准确率（计算方法为：∣（执行数-预算数）/预算数∣）</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90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经济效益指标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lang w:eastAsia="zh-CN"/>
              </w:rPr>
              <w:t>“三公”经费</w:t>
            </w:r>
            <w:r>
              <w:rPr>
                <w:rFonts w:ascii="宋体" w:cs="宋体" w:hAnsi="宋体" w:hint="eastAsia"/>
                <w:color w:val="000000"/>
                <w:kern w:val="0"/>
                <w:sz w:val="18"/>
                <w:szCs w:val="18"/>
              </w:rPr>
              <w:t>控制率[计算方法为：（三公经费实际支出数/预算安排数]×100%）</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运转保障率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项目自评总分100分，本单位在2023年县政府目标绩效评价荣获一等奖，高质量完成县政府下达的目标工作任务。</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51192222R000005773542-退休人员一次性补贴</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提高预算编制质量，严格执行预算，保障退休人员一次性补贴发放到位。</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退休人员一次性补贴及时发放到位。</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2023年12月退休一</w:t>
            </w:r>
            <w:r>
              <w:rPr>
                <w:rFonts w:ascii="宋体" w:cs="宋体" w:hAnsi="宋体" w:hint="eastAsia"/>
                <w:color w:val="000000"/>
                <w:kern w:val="0"/>
                <w:sz w:val="18"/>
                <w:szCs w:val="18"/>
                <w:lang w:eastAsia="zh-CN"/>
              </w:rPr>
              <w:t>次</w:t>
            </w:r>
            <w:r>
              <w:rPr>
                <w:rFonts w:ascii="宋体" w:cs="宋体" w:hAnsi="宋体" w:hint="eastAsia"/>
                <w:color w:val="000000"/>
                <w:kern w:val="0"/>
                <w:sz w:val="18"/>
                <w:szCs w:val="18"/>
              </w:rPr>
              <w:t>性补贴发放到位</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2.21</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2.21</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2.21</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2.21</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0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发放覆盖率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足额保障率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right"/>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项目自评总分100分，项目实施退休人员一次性补贴及时发放到位。</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51192222R000006728056-职业年金虚账做实资金</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提高预算编制质量，严格执行预算，保障足额缴纳职业年金虚账做实资金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及时缴纳退休人员退休前的职业年金虚账做实资金</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2023年10月足额缴纳退休人员退休前职业年金虚账做实资金</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6.55</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6.55</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6.55</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6.55</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24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缴纳覆盖率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足额保障率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right"/>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项目自评总分100分，2023年10月足额缴纳退休人员退休前职业年金虚账做实资金</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51192222R000006888493-机关事业人员奖励</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提高预算编制质量，严格执行预算，保障事业人员奖励金发放到位</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2023年5月事业人员奖励金发放到位</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0.30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0.30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0.30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0.30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发放覆盖率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足额保障率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项目自评总分100分，2023年5月事业人员励金足额发放到位。</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51192222T000006898486-公共文化服务体系（广播电视重点项目）</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180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保障南江发射 台（谷仓观） 中央广播电视节目无线覆盖工程正常运行维护，引导和支持地方提供基本公共文化项目，改善基层公共文化设施条件，支持加快构建现代化公共文化服务体系，促进基体公共文化服务标准化、均等化，确保广大人民群众观看电视、收听广播等基本文化权益。保障地方电视节目安全播需配套应急电源，全方位展示南江文旅优势，推介文旅资源，全过程构筑文旅高地，开设大型文旅栏目《多彩南江》。弘扬</w:t>
            </w:r>
            <w:r>
              <w:rPr>
                <w:rFonts w:ascii="宋体" w:cs="宋体" w:hAnsi="宋体" w:hint="eastAsia"/>
                <w:color w:val="000000"/>
                <w:kern w:val="0"/>
                <w:sz w:val="18"/>
                <w:szCs w:val="18"/>
                <w:lang w:eastAsia="zh-CN"/>
              </w:rPr>
              <w:t>中华</w:t>
            </w:r>
            <w:r>
              <w:rPr>
                <w:rFonts w:ascii="宋体" w:cs="宋体" w:hAnsi="宋体" w:hint="eastAsia"/>
                <w:color w:val="000000"/>
                <w:kern w:val="0"/>
                <w:sz w:val="18"/>
                <w:szCs w:val="18"/>
              </w:rPr>
              <w:t>民族优秀传统文化，举办南江百姓春晚，丰富群众文化生活，充分展示全县经济社会对文化事业发展带来的突出发展变化。</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确保广大人民群众观看电视、收听广播等基本文化权益。保障地方电视节目安全播需配套应急电 源全方位展示南江文旅优势，推介文旅资源，开设大型文旅栏目《多彩南江》。弘扬</w:t>
            </w:r>
            <w:r>
              <w:rPr>
                <w:rFonts w:ascii="黑体" w:cs="宋体" w:hAnsi="黑体" w:hint="eastAsia"/>
                <w:color w:val="000000"/>
                <w:kern w:val="0"/>
                <w:sz w:val="18"/>
                <w:szCs w:val="18"/>
                <w:lang w:eastAsia="zh-CN"/>
              </w:rPr>
              <w:t>中华民族</w:t>
            </w:r>
            <w:r>
              <w:rPr>
                <w:rFonts w:ascii="黑体" w:cs="宋体" w:hAnsi="黑体"/>
                <w:color w:val="000000"/>
                <w:kern w:val="0"/>
                <w:sz w:val="18"/>
                <w:szCs w:val="18"/>
              </w:rPr>
              <w:t>优秀传统文化，，举办南江百姓春晚，丰富群众文化生活，充分展示全县经济社会对文化事业发展带来的突出发展变化。</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保障南江发射 台（谷仓观） 中央广播电视节目无线覆盖工程正常运行维护，确保广大人民群众观看电视、收听广播等基本文化权益。保障地方电视节目安全播需配套应急 电源；开设大型文旅栏目《多彩南江》。举办南江百姓春晚。</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45.73</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108.56</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38.88</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35.81%</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1.省公共文化服务体系（广播电视重点项目）年初预算45.73万元，因2023年6月—7月下达中央广播电视节目无线覆盖相关发射站运行维护19.83万元、电视台发射经费8.1万元，2023年12月下达公服资金35万元，共计62.83元，执行率未达90%的主要原因县财政资金运行困难。</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45.73</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108.56</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38.88</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35.81%</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通过直播卫星免费收看电视节目数量</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套</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地面数字电视免费收看电视节目数量</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套</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7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维护承担中央广播电视节目无线覆盖任务的调频发射机 数量（部）</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部</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直播卫星免费收听广播节目数量</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套</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7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维护承担中央广播电视节目无线 覆盖任务的数字广播发射机数量</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部</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无线模拟免费收听广播节目数量</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套</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开设大型文旅栏目《多彩南江》</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个</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举办一场南江百姓春晚</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场</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7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维护承担中央广播电视节目无线 覆盖任务的数字电视发射机数量</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部</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配备应急电源</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2023年12月前</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月</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中央无线电视节目人口覆盖率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7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丰富全县人民群众文化生活，营造喜庆、欢乐、祥和的节日氛围</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提升南江文旅知名度和美誉度</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90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满足有线未通达地区收听看中央广播电视节目</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达到《关于加快推进广播电视村村通向户户通升级工作的通知》要求。</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保障群众及时收听收看中央和地方广播电视节目</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中央无线广播节目人口覆盖率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828"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服务对象满意度指标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群众对广播电视基本公共服务满意度</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电台电视台节目部站对转播广播电视节目的满意率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群众对《多彩南江》栏目的满意率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群众收听收看中央和地方广播电视节目的满意率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群众对南江百姓春晚文艺节目的满意率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群众对免费收听收看广播电视节目的满意率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成本指标</w:t>
            </w:r>
          </w:p>
        </w:tc>
        <w:tc>
          <w:tcPr>
            <w:tcW w:w="828"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经济成本指标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南江百姓文艺节目演出费用</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南江电视发射台需运行维护资金</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47.56</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安全播出应急电源购置1台</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right"/>
              <w:rPr>
                <w:rFonts w:ascii="宋体" w:cs="宋体" w:hAnsi="宋体"/>
                <w:color w:val="000000"/>
                <w:kern w:val="0"/>
                <w:sz w:val="18"/>
                <w:szCs w:val="18"/>
              </w:rPr>
            </w:pPr>
            <w:r>
              <w:rPr>
                <w:rFonts w:ascii="宋体" w:cs="宋体" w:hAnsi="宋体" w:hint="eastAsia"/>
                <w:color w:val="000000"/>
                <w:kern w:val="0"/>
                <w:sz w:val="18"/>
                <w:szCs w:val="18"/>
              </w:rPr>
              <w:t>95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项目自评总分100分，通过项目实施保障南江发射 台（谷仓观） 中央广播电视节目无线覆盖工程正常运行维护，确保收听广播等基本文化权益。保障地方电视节目安全播需配套应急电源，开设大型文旅栏目《多彩南江》，全方位展示南江文旅优势。举办南江百姓春晚，丰富群众文化生活。</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预算执行率低，主要原因是县财政资金运行困难。</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主动与县财政沟通协调，提高资金使用效率。</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51192222T000007230755-县级融媒体建设经费</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135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建设县级融媒体中心，是以习近平同志为核心的党中央着眼于宣传思想工作新形势新要求部署的重大改革任务，是加强和改进基层宣传思想工作、推进县级媒体转型升级的战略工程。进行南江县融媒体中心指挥中心装饰工程、暧通设备购置、办公家俱购置、工位订制、南江县融媒体中心指挥中心和演播室升级服务项目、南江县融媒体中心异地备份平台系统等建设。总投资控制在580万元内。建成符合中宣部《县级融媒体中心建设规范验收标准》要求。</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完成南江县融媒体中心指挥中心装饰工程、暧通设备购置、办公家俱购置、工位订制、南江县融媒体中心指挥中心和演播室升级服务项目、南江县融媒体中心异地备份平台系统等总投资控制580万元项目投资建设。</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完成南江县融媒体中心指挥中心装饰工程、暧通设备购置、办公家俱购置、工位订制、南江县融媒体中心指挥中心和演播室升级服务项目、南江县融媒体中心异地备份平台系统等总投资控制580万元项目投资建设</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融媒体中心指挥中心和演播室升级改造</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6个月内完成</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月</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7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增强传播力、引导力、公信力，为南江经济建设提供精神力量和舆论支持</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90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可持续影响指标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增强人民群众理想信念、价值理念、道德观念，不断丰富精神文化生活，提高公共服务能力</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服务对象满意度指标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群众对媒体服务满意率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92</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7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成本指标</w:t>
            </w:r>
          </w:p>
        </w:tc>
        <w:tc>
          <w:tcPr>
            <w:tcW w:w="828"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经济成本指标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南江县融媒体中心高清制作网升级暨备份系统项目185.68万元</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185.68</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南江县融媒体中心指挥中心装饰工程53.25万元</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53.25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暖通设备购置11.796万元</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11.796</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7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南江县融媒体中心指挥中心和演播室升级服务项目316.4837万元</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316.4837</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工位订制4.92万元</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4.92</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办公设备购置4.85万元</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4.85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right"/>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项目自评总分100分，项目实施加强了宣传基础设施建设，提高宣传质量，让受众群众快速知晓国家方针政策，享受高清晰高画质的影视效果。</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51192222Y000000345281-乡村振兴与脱贫攻坚衔接驻村经费</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90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完成2023年度保杨坝镇新坝村1个贫困村驻村工作。2、保障南江县融媒体中心挂联帮扶的杨坝镇新坝村工作队乡村振兴工作高效开展，预防和减少不稳定因素发生，改善群众生活条件。3、确保贫困村新坝村32户98人贫困人口脱贫巩固工作，促进全县乡村振兴工作稳步推进。</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保障2023年新坝村驻村工作正常开展，防止了返贫和不稳定因素的发生，乡村振兴工作稳步推进。</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保障挂联帮扶的杨坝镇新坝村工作队乡村振兴工作高效开展，预防和减少不稳定因素发生，改善群众生活条件。确保贫困村新坝村32户98人贫困人口脱贫巩固工作，促进全县乡村振兴工作稳步推进。</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1.50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2.17</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2.17</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1.50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2.17</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2.17</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驻村数量</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个</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驻村完成率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项目完成时间</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月</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经济效益指标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村级产业发展增长率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13</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13</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受益人口数</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98</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人</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7</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7</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生态效益指标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优化生活环境</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户</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乡村振兴项目运行</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帮扶对象满意度指标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群众满意度</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成本指标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经济成本指标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驻村工作经费</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right"/>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项目自评总分100分，项目实施村民的居住环境、精神面貌明显改善，人民收入稳步提升，乡村振兴工作有序开展。</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51192223R000008443954-在职人员工资-基本工资</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严格执行相关政策，保障工资及时、足额发放，预算编制科学合理，减少结余资金。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每月工资及时、足额发放，预算编制科学合理。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严格执行相关政策，每月工资及时、足额发放</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128.09</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128.22</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128.22</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128.09</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128.22</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128.22</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发放（缴纳）覆盖率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足额保障率（参保率）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项目自评总分100分，项目实施每月工资及时足额发放，职工满意度高。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51192223R000008444354-在职人员工资-津贴补贴</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严格执行相关政策，保障工资及时、足额发放，预算编制科学合理，减少结余资金。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每月工资及时、足额发放，预算编制科学合理。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严格执行相关政策，每月工资及时、足额发放。</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11.18</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14.02</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14.02</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11.18</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14.02</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14.02</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发放覆盖率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足额保障率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项目自评总分100分，项目实施每月工资及时足额发放，职工满意度高。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51192223R000008445197-在职人员工资-绩效工资</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严格执行相关政策，保障工资及时、足额发放，预算编制科学合理，减少结余资金。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严格执行相关政策，工资及时、足额发放，预算编制科学合理。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严格执行相关政策，每月工资及时、足额发放，预算编制科学合理。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80.35</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79.54</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79.54</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80.35</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79.54</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79.54</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发放覆盖率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足额保障率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项目自评总分100分，项目实施每月工资及时足额发放，职工满意度高。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51192223R000008445527-在职人员工资-年度考核绩效</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严格执行相关政策，保障工资及时、足额发放，预算编制科学合理，减少结余资金。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严格执行相关政策，工资及时、足额发放，预算编制科学合理。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严格执行相关政策，每月工资及时、足额发放，预算编制科学合理。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16.00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28.08</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28.08</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16.00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28.08</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28.08</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发放覆盖率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足额保障率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项目自评总分100分，项目实施每月工资及时足额发放，职工满意度高。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51192223R000008445879-在职人员工资-基础绩效奖</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严格执行相关政策，保障工资及时、足额发放，预算编制科学合理，减少结余资金。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严格执行相关政策，工资及时、足额发放，预算编制科学合理。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严格执行相关政策，每月工资及时、足额发放，预算编制科学合理。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89.24</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90.30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90.30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89.24</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90.30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90.30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发放覆盖率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足额保障率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项目自评总分100分，项目实施每月工资及时足额发放，职工满意度高。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51192223R000008446602-各项计提费用-在职社会保障缴费-养老保险</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严格执行相关政策，保障社保及时、足额缴纳，预算编制科学合理，减少结余资金。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严格执行相关政策，保障社保及时、足额缴纳，预算编制科学合理。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严格执行相关政策，保障每月社保及时、足额缴纳，预算编制科学合理。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49.38</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56.89</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56.89</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49.38</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56.89</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56.89</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缴纳覆盖率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参保率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 项目实施每月社保及时、足额缴纳，职工满意度高。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51192223R000008446951-各项计提费用-在职社会保障缴费-医疗保险</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严格执行相关政策，保障社保及时、足额缴纳，预算编制科学合理，减少结余资金。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严格执行相关政策，保障社保及时、足额缴纳，预算编制科学合理。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严格执行相关政策，保障每月社保及时、足额缴纳，预算编制科学合理。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17.87</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17.56</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17.56</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17.87</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17.56</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17.56</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缴纳覆盖率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参保率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项目自评总分100分，项目实施每月社保及时、足额缴纳，职工满意度高。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51192223R000008447334-各项计提费用-在职社会保障缴费-失业保险</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严格执行相关政策，保障社保及时、足额缴纳，预算编制科学合理，减少结余资金。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严格执行相关政策，保障每月社保及时、足额缴纳，预算编制科学合理。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严格执行相关政策，保障每月社保及时、足额缴纳，预算编制科学合理。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1.32</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1.29</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1.29</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1.32</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1.29</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1.29</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缴纳覆盖率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参保率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项目自评总分100分，项目实施每月社保及时、足额缴纳，职工满意度高。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51192223R000008447700-各项计提费用-在职社会保障缴费-工伤保险</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严格执行相关政策，保障社保及时、足额缴纳，预算编制科学合理，减少结余资金。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严格执行相关政策，保障社保及时、足额缴纳，预算编制科学合理。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严格执行相关政策，保障每月社保及时、足额缴纳，预算编制科学合理。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1.32</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1.29</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1.29</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1.32</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1.29</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1.29</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缴纳覆盖率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参保率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项目自评总分100分，项目实施每月社保及时、足额缴纳，职工满意度高。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51192223R000008448102-各项计提费用-在职社会保障缴费-补充医疗</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严格执行相关政策，保障工资及时、足额发放或社保及时、足额缴纳，预算编制科学合理，减少结余资金。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严格执行相关政策，保障社保及时、足额缴纳，预算编制科学合理。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严格执行相关政策，保障社保及时、足额缴纳，预算编制科学合理。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4.34</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4.40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4.40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4.34</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4.40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4.40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缴纳覆盖率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参保率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项目自评总分100分，项目实施每月社保及时、足额缴纳，职工满意度高。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51192223R000008448441-各项计提费用-在职住房公积金</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严格执行相关政策，保障社保及时、足额缴纳，预算编制科学合理，减少结余资金。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严格执行相关政策，保障社保及时、足额缴纳，预算编制科学合理。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严格执行相关政策，保障社保及时、足额缴纳，预算编制科学合理。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38.99</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40.14</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40.14</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38.99</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40.14</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40.14</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缴纳覆盖率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参保率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项目自评总分100分，项目实施每月社保及时、足额缴纳，职工满意度高。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51192223R000008468767-聘用人员经费-编外长聘人员</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严格执行相关政策，保障工资及时、足额发放，预算编制科学合理，减少结余资金。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严格执行相关政策，保障工资及时、足额发放，预算编制科学合理。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严格执行相关政策，保障编外长聘人员每月工资及时、足额发放，预算编制科学合理。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发放覆盖率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足额保障率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项目自评总分100分，项目实施每月工资及时、足额发放，职工满意度高。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51192223R000008470280-离退休人员经费-补充医疗</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严格执行相关政策，保障社保及时、足额缴纳，预算编制科学合理，减少结余资金。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严格执行相关政策，保障社保及时、足额缴纳，预算编制科学合理。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严格执行相关政策，保障每月社保及时、足额缴纳，预算编制科学合理。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0.68</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0.68</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0.68</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0.68</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0.68</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0.68</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缴纳覆盖率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参保率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项目自评总分100分，项目实施每月社保及时、足额缴纳，职工满意度高。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51192223R000008472067-离退休人员经费-离</w:t>
            </w:r>
            <w:r>
              <w:rPr>
                <w:rFonts w:ascii="宋体" w:cs="宋体" w:hAnsi="宋体" w:hint="eastAsia"/>
                <w:color w:val="000000"/>
                <w:kern w:val="0"/>
                <w:sz w:val="18"/>
                <w:szCs w:val="18"/>
                <w:lang w:eastAsia="zh-CN"/>
              </w:rPr>
              <w:t>退休</w:t>
            </w:r>
            <w:r>
              <w:rPr>
                <w:rFonts w:ascii="宋体" w:cs="宋体" w:hAnsi="宋体" w:hint="eastAsia"/>
                <w:color w:val="000000"/>
                <w:kern w:val="0"/>
                <w:sz w:val="18"/>
                <w:szCs w:val="18"/>
              </w:rPr>
              <w:t>人员目标绩效</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严格执行相关政策，保障工资及时、足额发放，预算编制科学合理，减少结余资金。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严格执行相关政策，保障工资及时、足额发放，预算编制科学合理。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严格执行相关政策，保障退休人员每月目标绩效及时、足额发放，预算编制科学合理。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2.60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2.60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发放覆盖率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足额保障率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项目自评总分100分，项目实施退休人员每月目标绩效及时、足额发放，职工满意度高。</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51192223R000008472412-离退休干部活动经费</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严格执行相关政策，保障离退休活动费及时支付，预算编制科学合理，减少结余资金。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严格执行相关政策，保障离退休活动费及时支付，预算编制科学合理。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严格执行相关政策，保障离退休活动费及时支付，预算编制科学合理。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0.06</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0.06</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0.06</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0.06</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0.06</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0.06</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支付率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足额保障率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项目自评总分100分，项目实施保障离退休活动费及时支付，预算编制科学合理。</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51192223R000008707148-2022年绩效奖（基础绩效及考核绩效）</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7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严格执行相关政策，保障2022年绩效奖及时、足额发放，预算编制科学合理，减少结余资金。</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严格执行相关政策，保障2022年绩效奖及时、足额发放，预算编制科学合理。</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严格执行相关政策，保障2022年绩效奖及时、足额发放，预算编制科学合理。</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0.62</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0.62</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0.62</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0.62</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发放覆盖率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足额保障率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right"/>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项目自评总分100分，项目实施2022年绩效奖及时、足额发放。</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r>
        <w:trPr>
          <w:trHeight w:val="285"/>
        </w:trPr>
        <w:tc>
          <w:tcPr>
            <w:tcW w:w="63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643"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28"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68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142"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5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861"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487"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c>
          <w:tcPr>
            <w:tcW w:w="1024" w:type="dxa"/>
            <w:tcBorders>
              <w:top w:val="nil"/>
              <w:left w:val="nil"/>
              <w:bottom w:val="nil"/>
              <w:right w:val="nil"/>
              <w:tl2br w:val="nil"/>
              <w:tr2bl w:val="nil"/>
            </w:tcBorders>
            <w:vAlign w:val="center"/>
          </w:tcPr>
          <w:p>
            <w:pPr>
              <w:widowControl/>
              <w:suppressAutoHyphens w:val="0"/>
              <w:jc w:val="left"/>
              <w:rPr>
                <w:rFonts w:ascii="宋体" w:cs="宋体" w:hAnsi="宋体"/>
                <w:kern w:val="0"/>
                <w:sz w:val="18"/>
                <w:szCs w:val="18"/>
              </w:rPr>
            </w:pPr>
          </w:p>
        </w:tc>
      </w:tr>
      <w:tr>
        <w:trPr>
          <w:trHeight w:val="904"/>
        </w:trPr>
        <w:tc>
          <w:tcPr>
            <w:tcW w:w="9061"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黑体" w:eastAsia="黑体" w:cs="宋体" w:hAnsi="黑体"/>
                <w:b/>
                <w:bCs/>
                <w:color w:val="000000"/>
                <w:kern w:val="0"/>
                <w:sz w:val="30"/>
                <w:szCs w:val="30"/>
              </w:rPr>
            </w:pPr>
            <w:r>
              <w:rPr>
                <w:rFonts w:ascii="黑体" w:eastAsia="黑体" w:cs="宋体" w:hAnsi="黑体" w:hint="eastAsia"/>
                <w:b/>
                <w:bCs/>
                <w:color w:val="000000"/>
                <w:kern w:val="0"/>
                <w:sz w:val="30"/>
                <w:szCs w:val="30"/>
              </w:rPr>
              <w:t>部门预算项目支出绩效自评表（2023年度）</w:t>
            </w:r>
          </w:p>
        </w:tc>
      </w:tr>
      <w:tr>
        <w:trPr>
          <w:trHeight w:val="285"/>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项目名称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51192223T000009428573-东西部协作“影视”+文旅产业项目</w:t>
            </w:r>
          </w:p>
        </w:tc>
      </w:tr>
      <w:tr>
        <w:trPr>
          <w:trHeight w:val="514"/>
        </w:trPr>
        <w:tc>
          <w:tcPr>
            <w:tcW w:w="127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主管部门</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FF0000"/>
                <w:kern w:val="0"/>
                <w:sz w:val="18"/>
                <w:szCs w:val="18"/>
              </w:rPr>
            </w:pPr>
            <w:r>
              <w:rPr>
                <w:rFonts w:ascii="宋体" w:cs="宋体" w:hAnsi="宋体" w:hint="eastAsia"/>
                <w:color w:val="FF0000"/>
                <w:kern w:val="0"/>
                <w:sz w:val="18"/>
                <w:szCs w:val="18"/>
              </w:rPr>
              <w:t>电视台</w:t>
            </w:r>
          </w:p>
        </w:tc>
        <w:tc>
          <w:tcPr>
            <w:tcW w:w="861" w:type="dxa"/>
            <w:tcBorders>
              <w:top w:val="nil"/>
              <w:left w:val="nil"/>
              <w:bottom w:val="nil"/>
              <w:right w:val="nil"/>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实施单位 （盖章）</w:t>
            </w:r>
          </w:p>
        </w:tc>
        <w:tc>
          <w:tcPr>
            <w:tcW w:w="1998"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南江县融媒体中心</w:t>
            </w:r>
          </w:p>
        </w:tc>
      </w:tr>
      <w:tr>
        <w:trPr>
          <w:trHeight w:val="285"/>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项目基本情况</w:t>
            </w: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1.项目年度目标完成情况</w:t>
            </w: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项目年度目标</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黑体" w:cs="宋体" w:hAnsi="黑体"/>
                <w:color w:val="000000"/>
                <w:kern w:val="0"/>
                <w:sz w:val="18"/>
                <w:szCs w:val="18"/>
              </w:rPr>
            </w:pPr>
            <w:r>
              <w:rPr>
                <w:rFonts w:ascii="黑体" w:cs="宋体" w:hAnsi="黑体"/>
                <w:color w:val="000000"/>
                <w:kern w:val="0"/>
                <w:sz w:val="18"/>
                <w:szCs w:val="18"/>
              </w:rPr>
              <w:t>年度目标完成情况</w:t>
            </w:r>
          </w:p>
        </w:tc>
      </w:tr>
      <w:tr>
        <w:trPr>
          <w:trHeight w:val="112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4926" w:type="dxa"/>
            <w:gridSpan w:val="5"/>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通过东西部协作“影视+”文旅融合产业项目的实施，培育一批优秀影视人才，打造一批外景拍摄基地、网红村组、网红景点，推出一批优秀文艺作品，宣传推介文旅资源，力争形成社会效益、经济效益双赢，不断夯实乡村文化振兴基础，进一步推动南江乡村旅游高质量发展。</w:t>
            </w:r>
          </w:p>
        </w:tc>
        <w:tc>
          <w:tcPr>
            <w:tcW w:w="2859" w:type="dxa"/>
            <w:gridSpan w:val="4"/>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东西部协作“影视+”文旅融合产业项目的实施，培育了一批优秀影视人才，推出一批外景拍摄基地、网红村组、网红景点，创作一批优秀文艺作品，宣传推介文旅资源，形成社会效益、经济效益双赢，夯实了乡村文化振兴基础，助力南江乡村旅游高质量发展。</w:t>
            </w:r>
          </w:p>
        </w:tc>
      </w:tr>
      <w:tr>
        <w:trPr>
          <w:trHeight w:val="69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2.项目实施内容及过程概述</w:t>
            </w:r>
          </w:p>
        </w:tc>
        <w:tc>
          <w:tcPr>
            <w:tcW w:w="7785" w:type="dxa"/>
            <w:gridSpan w:val="9"/>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2023年10月前高质量创作《山海情歌》MV一首，拍摄纪录片《我去南江要种玉米》、《修复接龙桥》2部，影视人才培训4批次，“影视+”文旅宣传推介、基地交流活动5批次，完成项目投资200万元。提高了单位采编人员创作水平，加强了南江文化旅游外宣力度。</w:t>
            </w:r>
          </w:p>
        </w:tc>
      </w:tr>
      <w:tr>
        <w:trPr>
          <w:trHeight w:val="360"/>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预算执行情况（10分）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年度预算数（万元）</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年初预算</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调整后预算数</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预算执行数</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原因</w:t>
            </w:r>
          </w:p>
        </w:tc>
      </w:tr>
      <w:tr>
        <w:trPr>
          <w:trHeight w:val="345"/>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总额</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i/>
                <w:iCs/>
                <w:color w:val="000000"/>
                <w:kern w:val="0"/>
                <w:sz w:val="18"/>
                <w:szCs w:val="18"/>
              </w:rPr>
            </w:pPr>
            <w:r>
              <w:rPr>
                <w:rFonts w:ascii="黑体" w:cs="宋体" w:hAnsi="黑体"/>
                <w:i/>
                <w:iCs/>
                <w:color w:val="000000"/>
                <w:kern w:val="0"/>
                <w:sz w:val="18"/>
                <w:szCs w:val="18"/>
              </w:rPr>
              <w:t>　</w:t>
            </w:r>
          </w:p>
        </w:tc>
      </w:tr>
      <w:tr>
        <w:trPr>
          <w:trHeight w:val="39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其中：财政资金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0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财政专户管理资金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60"/>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单位资金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0.00%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其他资金</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2417" w:type="dxa"/>
            <w:gridSpan w:val="3"/>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024" w:type="dxa"/>
            <w:vMerge/>
            <w:tcBorders>
              <w:top w:val="nil"/>
              <w:left w:val="single" w:sz="4" w:space="0" w:color="000000"/>
              <w:bottom w:val="single" w:sz="4" w:space="0" w:color="000000"/>
              <w:right w:val="single" w:sz="4" w:space="0" w:color="000000"/>
              <w:tl2br w:val="nil"/>
              <w:tr2bl w:val="nil"/>
            </w:tcBorders>
            <w:vAlign w:val="center"/>
          </w:tcPr>
          <w:p/>
        </w:tc>
      </w:tr>
      <w:tr>
        <w:trPr>
          <w:trHeight w:val="454"/>
        </w:trPr>
        <w:tc>
          <w:tcPr>
            <w:tcW w:w="63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绩效指标（90分）</w:t>
            </w: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一级指标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二级指标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三级指标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指标性质</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指标值</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度量单位</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完成值</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权重</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得分</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未完成原因分析</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28"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“影视+”文旅宣传推介、基地交流活动</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批次</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影视人才培训</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4</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批次</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6</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第二期南江影视地图</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套</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创作一首MV</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部</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东西部协作影视作品纪录片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部</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高画质、高清晰度</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完成时间（2023年10月31日前）</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月</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90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对南江的影视资源进行了一次集中宣传；培训一批影视人才；反映东西部协作成效。</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优</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助力南江影视资源的挖掘利用率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90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可持续影响指标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有效拓展旅游资源发展空间，推广“文旅+产业+产品”经验，有效带动旅游收入增长</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338"/>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828"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群众满意率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成本指标</w:t>
            </w:r>
          </w:p>
        </w:tc>
        <w:tc>
          <w:tcPr>
            <w:tcW w:w="828" w:type="dxa"/>
            <w:vMerge w:val="restart"/>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经济成本指标</w:t>
            </w: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东西部协作影视作品纪录片</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80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第二期南江影视地图成本（20万元/套）</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影视人才培训（5万元/批）</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79"/>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“影视”+文旅宣传推介、基地交流活动成本（9万元/批）</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9</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2</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454"/>
        </w:trPr>
        <w:tc>
          <w:tcPr>
            <w:tcW w:w="633" w:type="dxa"/>
            <w:vMerge/>
            <w:tcBorders>
              <w:top w:val="nil"/>
              <w:left w:val="single" w:sz="4" w:space="0" w:color="000000"/>
              <w:bottom w:val="single" w:sz="4" w:space="0" w:color="000000"/>
              <w:right w:val="single" w:sz="4" w:space="0" w:color="000000"/>
              <w:tl2br w:val="nil"/>
              <w:tr2bl w:val="nil"/>
            </w:tcBorders>
            <w:vAlign w:val="center"/>
          </w:tcPr>
          <w:p/>
        </w:tc>
        <w:tc>
          <w:tcPr>
            <w:tcW w:w="643" w:type="dxa"/>
            <w:vMerge/>
            <w:tcBorders>
              <w:top w:val="nil"/>
              <w:left w:val="single" w:sz="4" w:space="0" w:color="000000"/>
              <w:bottom w:val="single" w:sz="4" w:space="0" w:color="000000"/>
              <w:right w:val="single" w:sz="4" w:space="0" w:color="000000"/>
              <w:tl2br w:val="nil"/>
              <w:tr2bl w:val="nil"/>
            </w:tcBorders>
            <w:vAlign w:val="center"/>
          </w:tcPr>
          <w:p/>
        </w:tc>
        <w:tc>
          <w:tcPr>
            <w:tcW w:w="828" w:type="dxa"/>
            <w:vMerge/>
            <w:tcBorders>
              <w:top w:val="nil"/>
              <w:left w:val="single" w:sz="4" w:space="0" w:color="000000"/>
              <w:bottom w:val="single" w:sz="4" w:space="0" w:color="000000"/>
              <w:right w:val="single" w:sz="4" w:space="0" w:color="000000"/>
              <w:tl2br w:val="nil"/>
              <w:tr2bl w:val="nil"/>
            </w:tcBorders>
            <w:vAlign w:val="center"/>
          </w:tcPr>
          <w:p/>
        </w:tc>
        <w:tc>
          <w:tcPr>
            <w:tcW w:w="168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创作一首MV成本（35万元/部）</w:t>
            </w:r>
          </w:p>
        </w:tc>
        <w:tc>
          <w:tcPr>
            <w:tcW w:w="4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1142"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35</w:t>
            </w:r>
          </w:p>
        </w:tc>
        <w:tc>
          <w:tcPr>
            <w:tcW w:w="85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万元</w:t>
            </w:r>
          </w:p>
        </w:tc>
        <w:tc>
          <w:tcPr>
            <w:tcW w:w="861"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7063"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合计</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7" w:type="dxa"/>
            <w:tcBorders>
              <w:top w:val="nil"/>
              <w:left w:val="nil"/>
              <w:bottom w:val="single" w:sz="4" w:space="0" w:color="000000"/>
              <w:right w:val="single" w:sz="4" w:space="0" w:color="000000"/>
              <w:tl2br w:val="nil"/>
              <w:tr2bl w:val="nil"/>
            </w:tcBorders>
            <w:vAlign w:val="center"/>
          </w:tcPr>
          <w:p>
            <w:pPr>
              <w:widowControl/>
              <w:suppressAutoHyphens w:val="0"/>
              <w:jc w:val="right"/>
              <w:rPr>
                <w:rFonts w:ascii="宋体" w:cs="宋体" w:hAnsi="宋体"/>
                <w:color w:val="000000"/>
                <w:kern w:val="0"/>
                <w:sz w:val="18"/>
                <w:szCs w:val="18"/>
              </w:rPr>
            </w:pPr>
            <w:r>
              <w:rPr>
                <w:rFonts w:ascii="宋体" w:cs="宋体" w:hAnsi="宋体" w:hint="eastAsia"/>
                <w:color w:val="000000"/>
                <w:kern w:val="0"/>
                <w:sz w:val="18"/>
                <w:szCs w:val="18"/>
              </w:rPr>
              <w:t>100</w:t>
            </w:r>
          </w:p>
        </w:tc>
        <w:tc>
          <w:tcPr>
            <w:tcW w:w="1024" w:type="dxa"/>
            <w:tcBorders>
              <w:top w:val="nil"/>
              <w:left w:val="nil"/>
              <w:bottom w:val="single" w:sz="4" w:space="0" w:color="000000"/>
              <w:right w:val="single" w:sz="4" w:space="0" w:color="000000"/>
              <w:tl2br w:val="nil"/>
              <w:tr2bl w:val="nil"/>
            </w:tcBorders>
            <w:vAlign w:val="center"/>
          </w:tcPr>
          <w:p>
            <w:pPr>
              <w:widowControl/>
              <w:suppressAutoHyphens w:val="0"/>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60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评价结论</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color w:val="000000"/>
                <w:kern w:val="0"/>
                <w:sz w:val="16"/>
                <w:szCs w:val="16"/>
              </w:rPr>
            </w:pPr>
            <w:r>
              <w:rPr>
                <w:rFonts w:ascii="微软雅黑" w:eastAsia="微软雅黑" w:cs="宋体" w:hAnsi="微软雅黑" w:hint="eastAsia"/>
                <w:color w:val="000000"/>
                <w:kern w:val="0"/>
                <w:sz w:val="16"/>
                <w:szCs w:val="16"/>
              </w:rPr>
              <w:t>项目自评总分100分，项目实施提高了单位采编人员创作水平，加强了南江文化旅游外宣力度。</w:t>
            </w:r>
          </w:p>
        </w:tc>
      </w:tr>
      <w:tr>
        <w:trPr>
          <w:trHeight w:val="57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存在问题</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634"/>
        </w:trPr>
        <w:tc>
          <w:tcPr>
            <w:tcW w:w="633" w:type="dxa"/>
            <w:tcBorders>
              <w:top w:val="nil"/>
              <w:left w:val="single" w:sz="4" w:space="0" w:color="000000"/>
              <w:bottom w:val="single" w:sz="4" w:space="0" w:color="000000"/>
              <w:right w:val="single" w:sz="4" w:space="0" w:color="000000"/>
              <w:tl2br w:val="nil"/>
              <w:tr2bl w:val="nil"/>
            </w:tcBorders>
            <w:vAlign w:val="center"/>
          </w:tcPr>
          <w:p>
            <w:pPr>
              <w:widowControl/>
              <w:suppressAutoHyphens w:val="0"/>
              <w:jc w:val="center"/>
              <w:rPr>
                <w:rFonts w:ascii="宋体" w:cs="宋体" w:hAnsi="宋体"/>
                <w:color w:val="000000"/>
                <w:kern w:val="0"/>
                <w:sz w:val="18"/>
                <w:szCs w:val="18"/>
              </w:rPr>
            </w:pPr>
            <w:r>
              <w:rPr>
                <w:rFonts w:ascii="宋体" w:cs="宋体" w:hAnsi="宋体" w:hint="eastAsia"/>
                <w:color w:val="000000"/>
                <w:kern w:val="0"/>
                <w:sz w:val="18"/>
                <w:szCs w:val="18"/>
              </w:rPr>
              <w:t>改进措施</w:t>
            </w:r>
          </w:p>
        </w:tc>
        <w:tc>
          <w:tcPr>
            <w:tcW w:w="8428" w:type="dxa"/>
            <w:gridSpan w:val="10"/>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微软雅黑" w:eastAsia="微软雅黑" w:cs="宋体" w:hAnsi="微软雅黑"/>
                <w:i/>
                <w:iCs/>
                <w:color w:val="000000"/>
                <w:kern w:val="0"/>
                <w:sz w:val="16"/>
                <w:szCs w:val="16"/>
              </w:rPr>
            </w:pPr>
            <w:r>
              <w:rPr>
                <w:rFonts w:ascii="微软雅黑" w:eastAsia="微软雅黑" w:cs="宋体" w:hAnsi="微软雅黑" w:hint="eastAsia"/>
                <w:i/>
                <w:iCs/>
                <w:color w:val="000000"/>
                <w:kern w:val="0"/>
                <w:sz w:val="16"/>
                <w:szCs w:val="16"/>
              </w:rPr>
              <w:t>　</w:t>
            </w:r>
          </w:p>
        </w:tc>
      </w:tr>
      <w:tr>
        <w:trPr>
          <w:trHeight w:val="285"/>
        </w:trPr>
        <w:tc>
          <w:tcPr>
            <w:tcW w:w="4209"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项目负责人：张小林</w:t>
            </w:r>
          </w:p>
        </w:tc>
        <w:tc>
          <w:tcPr>
            <w:tcW w:w="4852" w:type="dxa"/>
            <w:gridSpan w:val="6"/>
            <w:tcBorders>
              <w:top w:val="single" w:sz="4" w:space="0" w:color="000000"/>
              <w:left w:val="nil"/>
              <w:bottom w:val="single" w:sz="4" w:space="0" w:color="000000"/>
              <w:right w:val="single" w:sz="4" w:space="0" w:color="000000"/>
              <w:tl2br w:val="nil"/>
              <w:tr2bl w:val="nil"/>
            </w:tcBorders>
            <w:vAlign w:val="center"/>
          </w:tcPr>
          <w:p>
            <w:pPr>
              <w:widowControl/>
              <w:suppressAutoHyphens w:val="0"/>
              <w:jc w:val="left"/>
              <w:rPr>
                <w:rFonts w:ascii="黑体" w:cs="宋体" w:hAnsi="黑体"/>
                <w:color w:val="000000"/>
                <w:kern w:val="0"/>
                <w:sz w:val="18"/>
                <w:szCs w:val="18"/>
              </w:rPr>
            </w:pPr>
            <w:r>
              <w:rPr>
                <w:rFonts w:ascii="黑体" w:cs="宋体" w:hAnsi="黑体"/>
                <w:color w:val="000000"/>
                <w:kern w:val="0"/>
                <w:sz w:val="18"/>
                <w:szCs w:val="18"/>
              </w:rPr>
              <w:t>财务负责人：王廷彬</w:t>
            </w:r>
          </w:p>
        </w:tc>
      </w:tr>
    </w:tbl>
    <w:p>
      <w:pPr>
        <w:pStyle w:val="78"/>
        <w:spacing w:line="560" w:lineRule="exact"/>
        <w:ind w:leftChars="0" w:left="0"/>
        <w:rPr>
          <w:rFonts w:hAnsi="Times New Roman" w:hint="eastAsia"/>
          <w:sz w:val="32"/>
        </w:rPr>
      </w:pPr>
    </w:p>
    <w:p>
      <w:pPr>
        <w:pStyle w:val="66"/>
        <w:rPr>
          <w:rFonts w:ascii="仿宋_GB2312" w:eastAsia="仿宋_GB2312" w:cs="仿宋" w:hint="eastAsia"/>
          <w:kern w:val="0"/>
          <w:sz w:val="32"/>
          <w:szCs w:val="32"/>
        </w:rPr>
      </w:pPr>
    </w:p>
    <w:p>
      <w:pPr>
        <w:spacing w:line="600" w:lineRule="exact"/>
        <w:ind w:firstLineChars="600" w:firstLine="2640"/>
        <w:outlineLvl w:val="0"/>
        <w:rPr>
          <w:rFonts w:ascii="黑体" w:eastAsia="黑体" w:hAnsi="黑体" w:hint="eastAsia"/>
          <w:sz w:val="44"/>
          <w:szCs w:val="44"/>
        </w:rPr>
      </w:pPr>
      <w:bookmarkStart w:id="1" w:name="_Toc15396618"/>
    </w:p>
    <w:p>
      <w:pPr>
        <w:spacing w:line="600" w:lineRule="exact"/>
        <w:ind w:firstLineChars="600" w:firstLine="2640"/>
        <w:outlineLvl w:val="0"/>
        <w:rPr>
          <w:rFonts w:ascii="黑体" w:eastAsia="黑体" w:hAnsi="黑体" w:hint="eastAsia"/>
          <w:sz w:val="44"/>
          <w:szCs w:val="44"/>
        </w:rPr>
      </w:pPr>
    </w:p>
    <w:p>
      <w:pPr>
        <w:spacing w:line="600" w:lineRule="exact"/>
        <w:ind w:firstLineChars="600" w:firstLine="2640"/>
        <w:outlineLvl w:val="0"/>
        <w:rPr>
          <w:rFonts w:ascii="黑体" w:eastAsia="黑体" w:hAnsi="黑体" w:hint="eastAsia"/>
          <w:sz w:val="44"/>
          <w:szCs w:val="44"/>
        </w:rPr>
      </w:pPr>
    </w:p>
    <w:p>
      <w:pPr>
        <w:spacing w:line="600" w:lineRule="exact"/>
        <w:ind w:firstLineChars="600" w:firstLine="2640"/>
        <w:outlineLvl w:val="0"/>
        <w:rPr>
          <w:rFonts w:ascii="黑体" w:eastAsia="黑体" w:hAnsi="黑体" w:hint="eastAsia"/>
          <w:sz w:val="44"/>
          <w:szCs w:val="44"/>
        </w:rPr>
      </w:pPr>
    </w:p>
    <w:p>
      <w:pPr>
        <w:spacing w:line="600" w:lineRule="exact"/>
        <w:ind w:firstLineChars="600" w:firstLine="2640"/>
        <w:outlineLvl w:val="0"/>
        <w:rPr>
          <w:rFonts w:ascii="方正小标宋简体" w:eastAsia="方正小标宋简体" w:cs="方正小标宋简体" w:hAnsi="方正小标宋简体" w:hint="eastAsia"/>
        </w:rPr>
      </w:pPr>
      <w:r>
        <w:rPr>
          <w:rFonts w:ascii="方正小标宋简体" w:eastAsia="方正小标宋简体" w:cs="方正小标宋简体" w:hAnsi="方正小标宋简体" w:hint="eastAsia"/>
          <w:sz w:val="44"/>
          <w:szCs w:val="44"/>
        </w:rPr>
        <w:t>第</w:t>
      </w:r>
      <w:r>
        <w:rPr>
          <w:rStyle w:val="1Char"/>
          <w:rFonts w:ascii="方正小标宋简体" w:eastAsia="方正小标宋简体" w:cs="方正小标宋简体" w:hAnsi="方正小标宋简体" w:hint="eastAsia"/>
        </w:rPr>
        <w:t>五部分 附表</w:t>
      </w:r>
    </w:p>
    <w:p>
      <w:pPr>
        <w:pStyle w:val="2"/>
        <w:rPr>
          <w:rFonts w:ascii="仿宋_GB2312" w:eastAsia="仿宋_GB2312" w:cs="仿宋_GB2312" w:hAnsi="仿宋_GB2312" w:hint="eastAsia"/>
        </w:rPr>
      </w:pPr>
      <w:r>
        <w:rPr>
          <w:rFonts w:ascii="仿宋_GB2312" w:eastAsia="仿宋_GB2312" w:cs="仿宋_GB2312" w:hAnsi="仿宋_GB2312" w:hint="eastAsia"/>
          <w:b w:val="0"/>
        </w:rPr>
        <w:t>一、收</w:t>
      </w:r>
      <w:r>
        <w:rPr>
          <w:rStyle w:val="2Char"/>
          <w:rFonts w:ascii="仿宋_GB2312" w:eastAsia="仿宋_GB2312" w:cs="仿宋_GB2312" w:hAnsi="仿宋_GB2312" w:hint="eastAsia"/>
          <w:b/>
          <w:bCs/>
        </w:rPr>
        <w:t>入支出决算总表</w:t>
      </w:r>
    </w:p>
    <w:p>
      <w:pPr>
        <w:pStyle w:val="2"/>
        <w:rPr>
          <w:rFonts w:ascii="仿宋_GB2312" w:eastAsia="仿宋_GB2312" w:cs="仿宋_GB2312" w:hAnsi="仿宋_GB2312" w:hint="eastAsia"/>
        </w:rPr>
      </w:pPr>
      <w:r>
        <w:rPr>
          <w:rFonts w:ascii="仿宋_GB2312" w:eastAsia="仿宋_GB2312" w:cs="仿宋_GB2312" w:hAnsi="仿宋_GB2312" w:hint="eastAsia"/>
          <w:b w:val="0"/>
        </w:rPr>
        <w:t>二、收</w:t>
      </w:r>
      <w:r>
        <w:rPr>
          <w:rStyle w:val="2Char"/>
          <w:rFonts w:ascii="仿宋_GB2312" w:eastAsia="仿宋_GB2312" w:cs="仿宋_GB2312" w:hAnsi="仿宋_GB2312" w:hint="eastAsia"/>
          <w:b/>
          <w:bCs/>
        </w:rPr>
        <w:t>入决算表</w:t>
      </w:r>
    </w:p>
    <w:p>
      <w:pPr>
        <w:pStyle w:val="2"/>
        <w:rPr>
          <w:rFonts w:ascii="仿宋_GB2312" w:eastAsia="仿宋_GB2312" w:cs="仿宋_GB2312" w:hAnsi="仿宋_GB2312" w:hint="eastAsia"/>
        </w:rPr>
      </w:pPr>
      <w:r>
        <w:rPr>
          <w:rStyle w:val="2Char"/>
          <w:rFonts w:ascii="仿宋_GB2312" w:eastAsia="仿宋_GB2312" w:cs="仿宋_GB2312" w:hAnsi="仿宋_GB2312" w:hint="eastAsia"/>
          <w:b/>
          <w:bCs/>
        </w:rPr>
        <w:t>三、</w:t>
      </w:r>
      <w:r>
        <w:rPr>
          <w:rFonts w:ascii="仿宋_GB2312" w:eastAsia="仿宋_GB2312" w:cs="仿宋_GB2312" w:hAnsi="仿宋_GB2312" w:hint="eastAsia"/>
          <w:b w:val="0"/>
        </w:rPr>
        <w:t>支</w:t>
      </w:r>
      <w:r>
        <w:rPr>
          <w:rStyle w:val="2Char"/>
          <w:rFonts w:ascii="仿宋_GB2312" w:eastAsia="仿宋_GB2312" w:cs="仿宋_GB2312" w:hAnsi="仿宋_GB2312" w:hint="eastAsia"/>
          <w:b/>
          <w:bCs/>
        </w:rPr>
        <w:t>出决算表</w:t>
      </w:r>
    </w:p>
    <w:p>
      <w:pPr>
        <w:pStyle w:val="2"/>
        <w:rPr>
          <w:rFonts w:ascii="仿宋_GB2312" w:eastAsia="仿宋_GB2312" w:cs="仿宋_GB2312" w:hAnsi="仿宋_GB2312" w:hint="eastAsia"/>
          <w:b w:val="0"/>
        </w:rPr>
      </w:pPr>
      <w:r>
        <w:rPr>
          <w:rStyle w:val="2Char"/>
          <w:rFonts w:ascii="仿宋_GB2312" w:eastAsia="仿宋_GB2312" w:cs="仿宋_GB2312" w:hAnsi="仿宋_GB2312" w:hint="eastAsia"/>
          <w:b/>
          <w:bCs/>
        </w:rPr>
        <w:t>四、</w:t>
      </w:r>
      <w:r>
        <w:rPr>
          <w:rFonts w:ascii="仿宋_GB2312" w:eastAsia="仿宋_GB2312" w:cs="仿宋_GB2312" w:hAnsi="仿宋_GB2312" w:hint="eastAsia"/>
          <w:b w:val="0"/>
        </w:rPr>
        <w:t>财</w:t>
      </w:r>
      <w:r>
        <w:rPr>
          <w:rStyle w:val="2Char"/>
          <w:rFonts w:ascii="仿宋_GB2312" w:eastAsia="仿宋_GB2312" w:cs="仿宋_GB2312" w:hAnsi="仿宋_GB2312" w:hint="eastAsia"/>
          <w:b/>
          <w:bCs/>
        </w:rPr>
        <w:t>政拨款收入支出决算总表</w:t>
      </w:r>
    </w:p>
    <w:p>
      <w:pPr>
        <w:pStyle w:val="2"/>
        <w:rPr>
          <w:rStyle w:val="2Char"/>
          <w:rFonts w:ascii="仿宋_GB2312" w:eastAsia="仿宋_GB2312" w:cs="仿宋_GB2312" w:hAnsi="仿宋_GB2312" w:hint="eastAsia"/>
          <w:b/>
          <w:bCs/>
        </w:rPr>
      </w:pPr>
      <w:r>
        <w:rPr>
          <w:rStyle w:val="2Char"/>
          <w:rFonts w:ascii="仿宋_GB2312" w:eastAsia="仿宋_GB2312" w:cs="仿宋_GB2312" w:hAnsi="仿宋_GB2312" w:hint="eastAsia"/>
          <w:b/>
          <w:bCs/>
        </w:rPr>
        <w:t>五、</w:t>
      </w:r>
      <w:r>
        <w:rPr>
          <w:rFonts w:ascii="仿宋_GB2312" w:eastAsia="仿宋_GB2312" w:cs="仿宋_GB2312" w:hAnsi="仿宋_GB2312" w:hint="eastAsia"/>
          <w:b w:val="0"/>
        </w:rPr>
        <w:t>财</w:t>
      </w:r>
      <w:r>
        <w:rPr>
          <w:rStyle w:val="2Char"/>
          <w:rFonts w:ascii="仿宋_GB2312" w:eastAsia="仿宋_GB2312" w:cs="仿宋_GB2312" w:hAnsi="仿宋_GB2312" w:hint="eastAsia"/>
          <w:b/>
          <w:bCs/>
        </w:rPr>
        <w:t>政拨款支出决算明细表</w:t>
      </w:r>
    </w:p>
    <w:p>
      <w:pPr>
        <w:pStyle w:val="2"/>
        <w:rPr>
          <w:rFonts w:ascii="仿宋_GB2312" w:eastAsia="仿宋_GB2312" w:cs="仿宋_GB2312" w:hAnsi="仿宋_GB2312" w:hint="eastAsia"/>
        </w:rPr>
      </w:pPr>
      <w:r>
        <w:rPr>
          <w:rStyle w:val="2Char"/>
          <w:rFonts w:ascii="仿宋_GB2312" w:eastAsia="仿宋_GB2312" w:cs="仿宋_GB2312" w:hAnsi="仿宋_GB2312" w:hint="eastAsia"/>
          <w:b/>
          <w:bCs/>
        </w:rPr>
        <w:t>六、</w:t>
      </w:r>
      <w:r>
        <w:rPr>
          <w:rFonts w:ascii="仿宋_GB2312" w:eastAsia="仿宋_GB2312" w:cs="仿宋_GB2312" w:hAnsi="仿宋_GB2312" w:hint="eastAsia"/>
          <w:b w:val="0"/>
        </w:rPr>
        <w:t>一</w:t>
      </w:r>
      <w:r>
        <w:rPr>
          <w:rStyle w:val="2Char"/>
          <w:rFonts w:ascii="仿宋_GB2312" w:eastAsia="仿宋_GB2312" w:cs="仿宋_GB2312" w:hAnsi="仿宋_GB2312" w:hint="eastAsia"/>
          <w:b/>
          <w:bCs/>
        </w:rPr>
        <w:t>般公共预算财政拨款支出决算表</w:t>
      </w:r>
    </w:p>
    <w:p>
      <w:pPr>
        <w:pStyle w:val="2"/>
        <w:rPr>
          <w:rFonts w:ascii="仿宋_GB2312" w:eastAsia="仿宋_GB2312" w:cs="仿宋_GB2312" w:hAnsi="仿宋_GB2312" w:hint="eastAsia"/>
        </w:rPr>
      </w:pPr>
      <w:r>
        <w:rPr>
          <w:rStyle w:val="2Char"/>
          <w:rFonts w:ascii="仿宋_GB2312" w:eastAsia="仿宋_GB2312" w:cs="仿宋_GB2312" w:hAnsi="仿宋_GB2312" w:hint="eastAsia"/>
          <w:b/>
          <w:bCs/>
        </w:rPr>
        <w:t>七、</w:t>
      </w:r>
      <w:r>
        <w:rPr>
          <w:rFonts w:ascii="仿宋_GB2312" w:eastAsia="仿宋_GB2312" w:cs="仿宋_GB2312" w:hAnsi="仿宋_GB2312" w:hint="eastAsia"/>
          <w:b w:val="0"/>
        </w:rPr>
        <w:t>一</w:t>
      </w:r>
      <w:r>
        <w:rPr>
          <w:rStyle w:val="2Char"/>
          <w:rFonts w:ascii="仿宋_GB2312" w:eastAsia="仿宋_GB2312" w:cs="仿宋_GB2312" w:hAnsi="仿宋_GB2312" w:hint="eastAsia"/>
          <w:b/>
          <w:bCs/>
        </w:rPr>
        <w:t>般公共预算财政拨款支出决算明细表</w:t>
      </w:r>
    </w:p>
    <w:p>
      <w:pPr>
        <w:pStyle w:val="2"/>
        <w:rPr>
          <w:rFonts w:ascii="仿宋_GB2312" w:eastAsia="仿宋_GB2312" w:cs="仿宋_GB2312" w:hAnsi="仿宋_GB2312" w:hint="eastAsia"/>
        </w:rPr>
      </w:pPr>
      <w:r>
        <w:rPr>
          <w:rStyle w:val="2Char"/>
          <w:rFonts w:ascii="仿宋_GB2312" w:eastAsia="仿宋_GB2312" w:cs="仿宋_GB2312" w:hAnsi="仿宋_GB2312" w:hint="eastAsia"/>
          <w:b/>
          <w:bCs/>
        </w:rPr>
        <w:t>八、</w:t>
      </w:r>
      <w:r>
        <w:rPr>
          <w:rFonts w:ascii="仿宋_GB2312" w:eastAsia="仿宋_GB2312" w:cs="仿宋_GB2312" w:hAnsi="仿宋_GB2312" w:hint="eastAsia"/>
          <w:b w:val="0"/>
        </w:rPr>
        <w:t>一</w:t>
      </w:r>
      <w:r>
        <w:rPr>
          <w:rStyle w:val="2Char"/>
          <w:rFonts w:ascii="仿宋_GB2312" w:eastAsia="仿宋_GB2312" w:cs="仿宋_GB2312" w:hAnsi="仿宋_GB2312" w:hint="eastAsia"/>
          <w:b/>
          <w:bCs/>
        </w:rPr>
        <w:t>般公共预算财政拨款基本支出决算表</w:t>
      </w:r>
    </w:p>
    <w:p>
      <w:pPr>
        <w:pStyle w:val="2"/>
        <w:rPr>
          <w:rFonts w:ascii="仿宋_GB2312" w:eastAsia="仿宋_GB2312" w:cs="仿宋_GB2312" w:hAnsi="仿宋_GB2312" w:hint="eastAsia"/>
        </w:rPr>
      </w:pPr>
      <w:r>
        <w:rPr>
          <w:rStyle w:val="2Char"/>
          <w:rFonts w:ascii="仿宋_GB2312" w:eastAsia="仿宋_GB2312" w:cs="仿宋_GB2312" w:hAnsi="仿宋_GB2312" w:hint="eastAsia"/>
          <w:b/>
          <w:bCs/>
        </w:rPr>
        <w:t>九、</w:t>
      </w:r>
      <w:r>
        <w:rPr>
          <w:rFonts w:ascii="仿宋_GB2312" w:eastAsia="仿宋_GB2312" w:cs="仿宋_GB2312" w:hAnsi="仿宋_GB2312" w:hint="eastAsia"/>
          <w:b w:val="0"/>
        </w:rPr>
        <w:t>一</w:t>
      </w:r>
      <w:r>
        <w:rPr>
          <w:rStyle w:val="2Char"/>
          <w:rFonts w:ascii="仿宋_GB2312" w:eastAsia="仿宋_GB2312" w:cs="仿宋_GB2312" w:hAnsi="仿宋_GB2312" w:hint="eastAsia"/>
          <w:b/>
          <w:bCs/>
        </w:rPr>
        <w:t>般公共预算财政拨款项目支出决算表</w:t>
      </w:r>
    </w:p>
    <w:p>
      <w:pPr>
        <w:pStyle w:val="2"/>
        <w:rPr>
          <w:rFonts w:ascii="仿宋_GB2312" w:eastAsia="仿宋_GB2312" w:cs="仿宋_GB2312" w:hAnsi="仿宋_GB2312" w:hint="eastAsia"/>
        </w:rPr>
      </w:pPr>
      <w:r>
        <w:rPr>
          <w:rStyle w:val="2Char"/>
          <w:rFonts w:ascii="仿宋_GB2312" w:eastAsia="仿宋_GB2312" w:cs="仿宋_GB2312" w:hAnsi="仿宋_GB2312" w:hint="eastAsia"/>
          <w:b/>
          <w:bCs/>
        </w:rPr>
        <w:t>十、</w:t>
      </w:r>
      <w:r>
        <w:rPr>
          <w:rFonts w:ascii="仿宋_GB2312" w:eastAsia="仿宋_GB2312" w:cs="仿宋_GB2312" w:hAnsi="仿宋_GB2312" w:hint="eastAsia"/>
          <w:b w:val="0"/>
        </w:rPr>
        <w:t>政</w:t>
      </w:r>
      <w:r>
        <w:rPr>
          <w:rStyle w:val="2Char"/>
          <w:rFonts w:ascii="仿宋_GB2312" w:eastAsia="仿宋_GB2312" w:cs="仿宋_GB2312" w:hAnsi="仿宋_GB2312" w:hint="eastAsia"/>
          <w:b/>
          <w:bCs/>
        </w:rPr>
        <w:t>府性基金预算财政拨款收入支出决算表</w:t>
      </w:r>
    </w:p>
    <w:p>
      <w:pPr>
        <w:pStyle w:val="2"/>
        <w:rPr>
          <w:rFonts w:ascii="仿宋_GB2312" w:eastAsia="仿宋_GB2312" w:cs="仿宋_GB2312" w:hAnsi="仿宋_GB2312" w:hint="eastAsia"/>
        </w:rPr>
      </w:pPr>
      <w:r>
        <w:rPr>
          <w:rStyle w:val="2Char"/>
          <w:rFonts w:ascii="仿宋_GB2312" w:eastAsia="仿宋_GB2312" w:cs="仿宋_GB2312" w:hAnsi="仿宋_GB2312" w:hint="eastAsia"/>
          <w:b/>
          <w:bCs/>
        </w:rPr>
        <w:t>十一、</w:t>
      </w:r>
      <w:r>
        <w:rPr>
          <w:rFonts w:ascii="仿宋_GB2312" w:eastAsia="仿宋_GB2312" w:cs="仿宋_GB2312" w:hAnsi="仿宋_GB2312" w:hint="eastAsia"/>
          <w:b w:val="0"/>
        </w:rPr>
        <w:t>国</w:t>
      </w:r>
      <w:r>
        <w:rPr>
          <w:rStyle w:val="2Char"/>
          <w:rFonts w:ascii="仿宋_GB2312" w:eastAsia="仿宋_GB2312" w:cs="仿宋_GB2312" w:hAnsi="仿宋_GB2312" w:hint="eastAsia"/>
          <w:b/>
          <w:bCs/>
        </w:rPr>
        <w:t>有资本经营预算财政拨款收入支出决算表</w:t>
      </w:r>
    </w:p>
    <w:p>
      <w:pPr>
        <w:pStyle w:val="2"/>
        <w:rPr>
          <w:rFonts w:ascii="仿宋_GB2312" w:eastAsia="仿宋_GB2312" w:cs="仿宋_GB2312" w:hAnsi="仿宋_GB2312" w:hint="eastAsia"/>
        </w:rPr>
      </w:pPr>
      <w:r>
        <w:rPr>
          <w:rStyle w:val="2Char"/>
          <w:rFonts w:ascii="仿宋_GB2312" w:eastAsia="仿宋_GB2312" w:cs="仿宋_GB2312" w:hAnsi="仿宋_GB2312" w:hint="eastAsia"/>
          <w:b/>
          <w:bCs/>
        </w:rPr>
        <w:t>十二、国有资本经营预算财政拨款支出决算表</w:t>
      </w:r>
    </w:p>
    <w:p>
      <w:pPr>
        <w:spacing w:line="560" w:lineRule="exact"/>
        <w:rPr>
          <w:rStyle w:val="2Char"/>
          <w:rFonts w:ascii="仿宋_GB2312" w:eastAsia="仿宋_GB2312" w:cs="仿宋_GB2312" w:hAnsi="仿宋_GB2312" w:hint="eastAsia"/>
        </w:rPr>
      </w:pPr>
      <w:bookmarkStart w:id="2" w:name="_Toc15396631"/>
      <w:r>
        <w:rPr>
          <w:rStyle w:val="2Char"/>
          <w:rFonts w:ascii="仿宋_GB2312" w:eastAsia="仿宋_GB2312" w:cs="仿宋_GB2312" w:hAnsi="仿宋_GB2312" w:hint="eastAsia"/>
        </w:rPr>
        <w:t>十三、</w:t>
      </w:r>
      <w:bookmarkEnd w:id="2"/>
      <w:r>
        <w:rPr>
          <w:rStyle w:val="2Char"/>
          <w:rFonts w:ascii="仿宋_GB2312" w:eastAsia="仿宋_GB2312" w:cs="仿宋_GB2312" w:hAnsi="仿宋_GB2312" w:hint="eastAsia"/>
        </w:rPr>
        <w:t>财政拨款“三公”经费支出决算表</w:t>
      </w:r>
    </w:p>
    <w:p>
      <w:pPr>
        <w:rPr>
          <w:rFonts w:ascii="仿宋_GB2312" w:eastAsia="仿宋_GB2312" w:cs="仿宋_GB2312" w:hAnsi="仿宋_GB2312" w:hint="eastAsia"/>
          <w:sz w:val="44"/>
          <w:szCs w:val="44"/>
        </w:rPr>
      </w:pPr>
      <w:bookmarkEnd w:id="1"/>
    </w:p>
    <w:p/>
    <w:sectPr>
      <w:footerReference w:type="default" r:id="rId2"/>
      <w:pgSz w:w="11906" w:h="16838"/>
      <w:pgMar w:top="2098" w:right="1474" w:bottom="1984" w:left="1587" w:header="720" w:footer="720"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宋体">
    <w:altName w:val="华文中宋"/>
    <w:panose1 w:val="02010600030101010101"/>
    <w:charset w:val="86"/>
    <w:family w:val="auto"/>
    <w:pitch w:val="variable"/>
    <w:sig w:usb0="00000003" w:usb1="080E0000" w:usb2="00000000" w:usb3="00000000" w:csb0="00040001" w:csb1="00000000"/>
  </w:font>
  <w:font w:name="微软雅黑">
    <w:altName w:val="方正黑体_GBK"/>
    <w:panose1 w:val="020B0503020204020204"/>
    <w:charset w:val="86"/>
    <w:family w:val="swiss"/>
    <w:pitch w:val="variable"/>
    <w:sig w:usb0="80000287" w:usb1="2A0F3C52" w:usb2="00000016" w:usb3="00000000" w:csb0="0004001F" w:csb1="00000000"/>
  </w:font>
  <w:font w:name="Times New Roman">
    <w:altName w:val="DejaVu Sans"/>
    <w:panose1 w:val="02020603050405020304"/>
    <w:charset w:val="00"/>
    <w:family w:val="auto"/>
    <w:pitch w:val="variable"/>
    <w:sig w:usb0="00000A87" w:usb1="00000000" w:usb2="00000000" w:usb3="00000000" w:csb0="400001BF" w:csb1="DFF70000"/>
  </w:font>
  <w:font w:name="仿宋_GB2312">
    <w:panose1 w:val="02010609030101010101"/>
    <w:charset w:val="86"/>
    <w:family w:val="modern"/>
    <w:pitch w:val="variable"/>
    <w:sig w:usb0="00000001" w:usb1="080E0000" w:usb2="00000000" w:usb3="00000000" w:csb0="00040000" w:csb1="00000000"/>
  </w:font>
  <w:font w:name="仿宋">
    <w:altName w:val="方正仿宋_GBK"/>
    <w:panose1 w:val="02010609060101010101"/>
    <w:charset w:val="86"/>
    <w:family w:val="modern"/>
    <w:pitch w:val="variable"/>
    <w:sig w:usb0="800002BF" w:usb1="38CF7CFA"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Cambria">
    <w:altName w:val="DejaVu Sans"/>
    <w:panose1 w:val="02040803050406030204"/>
    <w:charset w:val="00"/>
    <w:family w:val="roman"/>
    <w:pitch w:val="variable"/>
    <w:sig w:usb0="E00002FF" w:usb1="4000045F"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lear" w:pos="4153"/>
        <w:tab w:val="clear" w:pos="8306"/>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outside</wp:align>
              </wp:positionH>
              <wp:positionV relativeFrom="paragraph">
                <wp:posOffset>0</wp:posOffset>
              </wp:positionV>
              <wp:extent cx="373986" cy="133052"/>
              <wp:effectExtent l="0" t="0" r="0" b="0"/>
              <wp:wrapNone/>
              <wp:docPr id="2" name="文本框 2"/>
              <wp:cNvGraphicFramePr>
                <a:graphicFrameLocks noChangeAspect="0"/>
              </wp:cNvGraphicFramePr>
              <a:graphic>
                <a:graphicData uri="http://schemas.microsoft.com/office/word/2010/wordprocessingShape">
                  <wps:wsp>
                    <wps:cNvSpPr/>
                    <wps:spPr>
                      <a:xfrm rot="0">
                        <a:off x="0" y="0"/>
                        <a:ext cx="373986" cy="133052"/>
                      </a:xfrm>
                      <a:prstGeom prst="rect"/>
                      <a:noFill/>
                      <a:ln w="9525" cmpd="sng" cap="flat">
                        <a:noFill/>
                        <a:prstDash val="solid"/>
                        <a:miter/>
                      </a:ln>
                    </wps:spPr>
                    <wps:txbx id="1">
                      <w:txbxContent>
                        <w:p>
                          <w:pPr>
                            <w:pStyle w:val="33"/>
                            <w:tabs>
                              <w:tab w:val="clear" w:pos="4153"/>
                              <w:tab w:val="clear" w:pos="8306"/>
                              <w:tab w:val="center" w:pos="4153"/>
                              <w:tab w:val="right" w:pos="8306"/>
                            </w:tabs>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1">
                      <a:spAutoFit/>
                    </wps:bodyPr>
                  </wps:wsp>
                </a:graphicData>
              </a:graphic>
            </wp:anchor>
          </w:drawing>
        </mc:Choice>
        <mc:Fallback>
          <w:pict>
            <v:shape type="#_x0000_t202" id="文本框 2" o:spid="_x0000_s2" filled="f" stroked="f" style="position:absolute;margin-left:-2.2888184E-5pt;margin-top:0.0pt;width:29.447754pt;height:10.4765625pt;z-index:12;mso-position-horizontal:outside;mso-position-horizontal-relative:margin;mso-position-vertical:absolute;mso-wrap-style:none;">
              <v:stroke color="#000000"/>
              <v:textbox id="848" inset="0mm,0mm,0mm,0mm" o:insetmode="custom" style="layout-flow:horizontal;v-text-anchor:top;mso-fit-shape-to-text:t;">
                <w:txbxContent>
                  <w:p>
                    <w:pPr>
                      <w:pStyle w:val="33"/>
                      <w:tabs>
                        <w:tab w:val="clear" w:pos="4153"/>
                        <w:tab w:val="clear" w:pos="8306"/>
                        <w:tab w:val="center" w:pos="4153"/>
                        <w:tab w:val="right" w:pos="8306"/>
                      </w:tabs>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suppressAutoHyphens/>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jc w:val="both"/>
      <w:outlineLvl w:val="0"/>
    </w:pPr>
    <w:rPr>
      <w:rFonts w:ascii="Calibri" w:eastAsia="宋体" w:cs="Times New Roman" w:hAnsi="Calibri"/>
      <w:b/>
      <w:bCs/>
      <w:kern w:val="44"/>
      <w:sz w:val="44"/>
      <w:szCs w:val="44"/>
      <w:lang w:val="en-US" w:eastAsia="zh-CN" w:bidi="ar-SA"/>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jc w:val="both"/>
      <w:outlineLvl w:val="1"/>
    </w:pPr>
    <w:rPr>
      <w:rFonts w:ascii="Cambria" w:eastAsia="宋体" w:cs="Times New Roman" w:hAnsi="Cambria"/>
      <w:b/>
      <w:bCs/>
      <w:kern w:val="2"/>
      <w:sz w:val="32"/>
      <w:szCs w:val="32"/>
      <w:lang w:val="en-US" w:eastAsia="zh-CN" w:bidi="ar-SA"/>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33">
    <w:name w:val="footer"/>
    <w:qFormat/>
    <w:basedOn w:val="0"/>
    <w:next w:val="23"/>
    <w:pPr>
      <w:widowControl w:val="0"/>
      <w:tabs>
        <w:tab w:val="center" w:pos="4153"/>
        <w:tab w:val="right" w:pos="8306"/>
      </w:tabs>
      <w:suppressAutoHyphens/>
      <w:snapToGrid w:val="0"/>
      <w:jc w:val="left"/>
    </w:pPr>
    <w:rPr>
      <w:rFonts w:ascii="Calibri" w:eastAsia="宋体" w:cs="Times New Roman" w:hAnsi="Calibri"/>
      <w:kern w:val="2"/>
      <w:sz w:val="18"/>
      <w:szCs w:val="18"/>
      <w:lang w:val="en-US" w:eastAsia="zh-CN" w:bidi="ar-SA"/>
    </w:rPr>
  </w:style>
  <w:style w:type="paragraph" w:styleId="36">
    <w:name w:val="table of figures"/>
    <w:qFormat/>
    <w:basedOn w:val="0"/>
    <w:next w:val="0"/>
    <w:pPr>
      <w:ind w:leftChars="200" w:left="400" w:hangingChars="200" w:hanging="200"/>
    </w:pPr>
  </w:style>
  <w:style w:type="paragraph" w:styleId="66">
    <w:name w:val="Body Text"/>
    <w:qFormat/>
    <w:basedOn w:val="0"/>
    <w:next w:val="18"/>
    <w:pPr>
      <w:widowControl w:val="0"/>
      <w:suppressAutoHyphens/>
      <w:spacing w:before="0" w:after="140" w:line="276" w:lineRule="auto"/>
      <w:jc w:val="both"/>
    </w:pPr>
    <w:rPr>
      <w:rFonts w:ascii="Calibri" w:eastAsia="宋体" w:cs="Times New Roman" w:hAnsi="Calibri"/>
      <w:kern w:val="2"/>
      <w:sz w:val="21"/>
      <w:szCs w:val="24"/>
      <w:lang w:val="en-US" w:eastAsia="zh-CN" w:bidi="ar-SA"/>
    </w:rPr>
  </w:style>
  <w:style w:type="paragraph" w:styleId="78">
    <w:name w:val="Body Text First Indent 2"/>
    <w:qFormat/>
    <w:basedOn w:val="0"/>
    <w:next w:val="20"/>
    <w:pPr>
      <w:widowControl w:val="0"/>
      <w:suppressAutoHyphens/>
      <w:spacing w:after="120"/>
      <w:ind w:leftChars="200" w:left="200" w:firstLineChars="200" w:firstLine="200"/>
      <w:jc w:val="both"/>
    </w:pPr>
    <w:rPr>
      <w:rFonts w:ascii="仿宋_GB2312" w:eastAsia="宋体" w:cs="Times New Roman" w:hAnsi="Calibri"/>
      <w:kern w:val="2"/>
      <w:sz w:val="21"/>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45 1 1 1 1 1"/>
    <sectPr/>
  </customProps>
</customData>
</file>

<file path=customXml/itemProps1.xml><?xml version="1.0" encoding="utf-8"?>
<ds:datastoreItem xmlns:ds="http://schemas.openxmlformats.org/officeDocument/2006/customXml" ds:itemID="{51255A0B-ABD3-4304-8661-774943C939D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Yozo_Office9.0.5233.191ZH.S1</Application>
  <Pages>48</Pages>
  <Words>0</Words>
  <Characters>19179</Characters>
  <Lines>0</Lines>
  <Paragraphs>24</Paragraphs>
  <CharactersWithSpaces>25572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2024-09-04T09:41:47Z</dcterms:created>
  <dcterms:modified xsi:type="dcterms:W3CDTF">2024-09-04T09:42:57Z</dcterms:modified>
</cp:coreProperties>
</file>