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20" w:lineRule="exact"/>
        <w:jc w:val="center"/>
        <w:outlineLvl w:val="9"/>
        <w:rPr>
          <w:rFonts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/>
          <w:bCs/>
          <w:sz w:val="44"/>
          <w:szCs w:val="44"/>
          <w:lang w:val="en-US" w:eastAsia="zh-CN"/>
        </w:rPr>
        <w:t>南江县</w:t>
      </w:r>
      <w:r>
        <w:rPr>
          <w:rFonts w:ascii="方正小标宋简体" w:eastAsia="方正小标宋简体" w:cs="方正小标宋简体" w:hAnsi="方正小标宋简体" w:hint="eastAsia"/>
          <w:b/>
          <w:bCs/>
          <w:sz w:val="44"/>
          <w:szCs w:val="44"/>
        </w:rPr>
        <w:t>贵民镇人民政府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方正小标宋简体" w:eastAsia="方正小标宋简体" w:cs="方正小标宋简体" w:hAnsi="方正小标宋简体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ascii="方正小标宋简体" w:eastAsia="方正小标宋简体" w:cs="方正小标宋简体" w:hAnsi="方正小标宋简体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ascii="方正小标宋简体" w:eastAsia="方正小标宋简体" w:cs="方正小标宋简体" w:hAnsi="方正小标宋简体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ascii="方正小标宋简体" w:eastAsia="方正小标宋简体" w:cs="方正小标宋简体" w:hAnsi="方正小标宋简体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年度部门整体支出绩效评价</w:t>
      </w:r>
      <w:r>
        <w:rPr>
          <w:rFonts w:ascii="方正小标宋简体" w:eastAsia="方正小标宋简体" w:cs="方正小标宋简体" w:hAnsi="方正小标宋简体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方正小标宋简体" w:eastAsia="方正小标宋简体" w:cs="方正小标宋简体" w:hAnsi="方正小标宋简体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ascii="方正小标宋简体" w:eastAsia="方正小标宋简体" w:cs="方正小标宋简体" w:hAnsi="方正小标宋简体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报</w:t>
      </w:r>
      <w:r>
        <w:rPr>
          <w:rFonts w:ascii="方正小标宋简体" w:eastAsia="方正小标宋简体" w:cs="方正小标宋简体" w:hAnsi="方正小标宋简体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ascii="方正小标宋简体" w:eastAsia="方正小标宋简体" w:cs="方正小标宋简体" w:hAnsi="方正小标宋简体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告</w:t>
      </w:r>
    </w:p>
    <w:p>
      <w:pPr>
        <w:pStyle w:val="16"/>
        <w:rPr>
          <w:rFonts w:hint="eastAsia"/>
        </w:rPr>
      </w:pPr>
    </w:p>
    <w:p>
      <w:pPr>
        <w:spacing w:line="280" w:lineRule="exact"/>
        <w:ind w:firstLine="720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00" w:lineRule="exact"/>
        <w:ind w:firstLine="720"/>
        <w:rPr>
          <w:rFonts w:eastAsia="黑体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一、</w:t>
      </w:r>
      <w:r>
        <w:rPr>
          <w:rFonts w:eastAsia="黑体"/>
          <w:color w:val="000000"/>
          <w:sz w:val="32"/>
          <w:szCs w:val="32"/>
          <w:shd w:val="clear" w:color="auto" w:fill="FFFFFF"/>
          <w:lang w:val="zh-CN"/>
        </w:rPr>
        <w:t>部门概况</w:t>
      </w:r>
    </w:p>
    <w:p>
      <w:pPr>
        <w:spacing w:line="500" w:lineRule="exact"/>
        <w:ind w:firstLine="720"/>
        <w:rPr>
          <w:rFonts w:eastAsia="方正楷体_GBK"/>
          <w:color w:val="000000"/>
          <w:sz w:val="32"/>
          <w:szCs w:val="32"/>
          <w:u w:val="none"/>
          <w:shd w:val="clear" w:color="auto" w:fill="FFFFFF"/>
          <w:lang w:val="zh-CN"/>
        </w:rPr>
      </w:pPr>
      <w:r>
        <w:rPr>
          <w:rFonts w:eastAsia="方正楷体_GBK"/>
          <w:color w:val="000000"/>
          <w:sz w:val="32"/>
          <w:szCs w:val="32"/>
          <w:u w:val="none"/>
          <w:shd w:val="clear" w:color="auto" w:fill="FFFFFF"/>
          <w:lang w:val="zh-CN"/>
        </w:rPr>
        <w:t>（一）机构组成</w:t>
      </w:r>
    </w:p>
    <w:p>
      <w:pPr>
        <w:snapToGrid w:val="0"/>
        <w:spacing w:line="520" w:lineRule="exact"/>
        <w:ind w:firstLineChars="200" w:firstLine="640"/>
        <w:rPr>
          <w:rFonts w:ascii="仿宋_GB2312" w:eastAsia="仿宋_GB2312" w:cs="Times New Roman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u w:val="none"/>
          <w:lang w:val="en-US" w:eastAsia="zh-CN"/>
        </w:rPr>
        <w:t>贵民镇人民政府属乡镇一级预算单位，</w:t>
      </w:r>
      <w:r>
        <w:rPr>
          <w:rFonts w:ascii="仿宋_GB2312" w:eastAsia="仿宋_GB2312" w:cs="仿宋_GB2312" w:hAnsi="仿宋_GB2312" w:hint="eastAsia"/>
          <w:b w:val="0"/>
          <w:bCs w:val="0"/>
          <w:color w:val="auto"/>
          <w:sz w:val="32"/>
          <w:szCs w:val="32"/>
          <w:lang w:val="zh-CN" w:eastAsia="zh-CN" w:bidi="zh-CN"/>
        </w:rPr>
        <w:t>内设机构</w:t>
      </w:r>
      <w:r>
        <w:rPr>
          <w:rFonts w:ascii="仿宋_GB2312" w:eastAsia="仿宋_GB2312" w:cs="仿宋_GB2312" w:hAnsi="仿宋_GB2312" w:hint="eastAsia"/>
          <w:b w:val="0"/>
          <w:bCs w:val="0"/>
          <w:color w:val="auto"/>
          <w:sz w:val="32"/>
          <w:szCs w:val="32"/>
          <w:lang w:val="en-US" w:eastAsia="zh-CN" w:bidi="zh-CN"/>
        </w:rPr>
        <w:t>6个</w:t>
      </w:r>
      <w:r>
        <w:rPr>
          <w:rFonts w:ascii="仿宋_GB2312" w:eastAsia="仿宋_GB2312" w:cs="仿宋_GB2312" w:hAnsi="仿宋_GB2312" w:hint="eastAsia"/>
          <w:b w:val="0"/>
          <w:bCs w:val="0"/>
          <w:color w:val="auto"/>
          <w:sz w:val="32"/>
          <w:szCs w:val="32"/>
          <w:lang w:val="zh-CN" w:eastAsia="zh-CN" w:bidi="zh-CN"/>
        </w:rPr>
        <w:t>：党建工作办公室、经济发展和乡村振兴办公室、综合行政执法办公室、社会事务管理办公室、社会治理办公室、财政</w:t>
      </w:r>
      <w:r>
        <w:rPr>
          <w:rFonts w:ascii="仿宋_GB2312" w:eastAsia="仿宋_GB2312" w:cs="仿宋_GB2312" w:hAnsi="仿宋_GB2312" w:hint="eastAsia"/>
          <w:b w:val="0"/>
          <w:bCs w:val="0"/>
          <w:color w:val="auto"/>
          <w:sz w:val="32"/>
          <w:szCs w:val="32"/>
          <w:lang w:val="zh-CN" w:eastAsia="zh-CN" w:bidi="zh-CN"/>
        </w:rPr>
        <w:t>所。镇直属事业单位</w:t>
      </w:r>
      <w:r>
        <w:rPr>
          <w:rFonts w:ascii="仿宋_GB2312" w:eastAsia="仿宋_GB2312" w:cs="仿宋_GB2312" w:hAnsi="仿宋_GB2312" w:hint="eastAsia"/>
          <w:b w:val="0"/>
          <w:bCs w:val="0"/>
          <w:color w:val="auto"/>
          <w:sz w:val="32"/>
          <w:szCs w:val="32"/>
          <w:lang w:val="en-US" w:eastAsia="zh-CN" w:bidi="zh-CN"/>
        </w:rPr>
        <w:t>4个：</w:t>
      </w:r>
      <w:r>
        <w:rPr>
          <w:rFonts w:ascii="仿宋_GB2312" w:eastAsia="仿宋_GB2312" w:cs="仿宋_GB2312" w:hAnsi="仿宋_GB2312" w:hint="eastAsia"/>
          <w:b w:val="0"/>
          <w:bCs w:val="0"/>
          <w:color w:val="auto"/>
          <w:sz w:val="32"/>
          <w:szCs w:val="32"/>
          <w:lang w:val="zh-CN" w:eastAsia="zh-CN" w:bidi="zh-CN"/>
        </w:rPr>
        <w:t>便民服务中心、农业综合服务中心，</w:t>
      </w:r>
      <w:r>
        <w:rPr>
          <w:rFonts w:ascii="仿宋_GB2312" w:eastAsia="仿宋_GB2312" w:cs="Times New Roman" w:hAnsi="仿宋" w:hint="eastAsia"/>
          <w:sz w:val="32"/>
          <w:szCs w:val="32"/>
          <w:lang w:val="en-US" w:eastAsia="zh-CN"/>
        </w:rPr>
        <w:t>公共事务服务中心、农民工服务中心。</w:t>
      </w:r>
    </w:p>
    <w:p>
      <w:pPr>
        <w:pStyle w:val="15"/>
        <w:rPr>
          <w:rFonts w:hint="eastAsia"/>
          <w:lang w:val="zh-CN" w:eastAsia="zh-CN"/>
        </w:rPr>
      </w:pPr>
    </w:p>
    <w:p>
      <w:pPr>
        <w:numPr>
          <w:ilvl w:val="0"/>
          <w:numId w:val="1"/>
        </w:numPr>
        <w:spacing w:line="500" w:lineRule="exact"/>
        <w:ind w:left="0" w:firstLine="720"/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  <w:t>机构职能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zh-CN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贯彻落实党的路线方针政策、法律法规及上级党委、政府的决定和命令，加强农村党组织建设和基层政权建设，巩固党在农村的执政基础；负责拟订本行政区域经济社会发展和村镇建设等规划，组织农村基础设施和各项公益事业建设，促进本地经济发展，加快城乡经济和社会统筹发展，改善群众生活环境；引导和促进新型农村专业合作经济组织发展，提高农民进入市场的组织化程度，促进经济增长方式转变，引导农村富余劳动力转移，促进农民增收；负责抓好义务教育、人口和计划生育、民政事务、救灾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救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助、就业培训、社会保障、劳动关系协调和新型合作医疗实施等工作，加强农村精神文明建设，促进农村社会事业发展，推进基层民主法治建设，指导村（居）民委员会工作，维护群众合法权益；承担区域内的财政、统计、民政、人民武装和退役军人事务等管理工作，加强社会治安综合治理，强化信访和矛盾纠纷调解工作，化解农村社会矛盾，维护农村社会和谐稳定，全面推进社会主义新农村建设。</w:t>
      </w:r>
    </w:p>
    <w:p>
      <w:pPr>
        <w:numPr>
          <w:ilvl w:val="0"/>
          <w:numId w:val="1"/>
        </w:numPr>
        <w:spacing w:line="500" w:lineRule="exact"/>
        <w:ind w:left="0" w:firstLine="720"/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  <w:t>人员概况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贵民镇人民政府2023年末实有人员61人，其中：行政编制人员26人，事业编制人员33人，机关工勤人员2人。</w:t>
      </w:r>
    </w:p>
    <w:p>
      <w:pPr>
        <w:pStyle w:val="16"/>
        <w:ind w:left="720"/>
        <w:rPr>
          <w:lang w:val="zh-CN"/>
        </w:rPr>
      </w:pPr>
    </w:p>
    <w:p>
      <w:pPr>
        <w:spacing w:line="500" w:lineRule="exact"/>
        <w:ind w:firstLine="720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二、部门财政资金收支情况</w:t>
      </w:r>
    </w:p>
    <w:p>
      <w:pPr>
        <w:spacing w:line="500" w:lineRule="exact"/>
        <w:ind w:firstLine="720"/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  <w:t>（一）部门财政资金收入情况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2023年本年收入合计2484.9万元，其中：一般公共预算财政拨款收入2481.9万元，占99.88%；政府性基金预算财政拨款收入3.0万元，占0.12%。</w:t>
      </w:r>
    </w:p>
    <w:p>
      <w:pPr>
        <w:pStyle w:val="16"/>
        <w:rPr>
          <w:lang w:val="zh-CN"/>
        </w:rPr>
      </w:pPr>
    </w:p>
    <w:p>
      <w:pPr>
        <w:numPr>
          <w:ilvl w:val="0"/>
          <w:numId w:val="2"/>
        </w:numPr>
        <w:spacing w:line="500" w:lineRule="exact"/>
        <w:ind w:left="0" w:firstLine="720"/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  <w:t>部门财政资金支出情况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2023年本年支出合计2484.9万元，其中：基本支出1385.6万元，占55.76%；项目支出1099.3万元，占44.24%；</w:t>
      </w:r>
    </w:p>
    <w:p>
      <w:pPr>
        <w:pStyle w:val="16"/>
        <w:rPr>
          <w:lang w:val="zh-CN"/>
        </w:rPr>
      </w:pPr>
    </w:p>
    <w:p>
      <w:pPr>
        <w:spacing w:line="500" w:lineRule="exact"/>
        <w:ind w:firstLine="720"/>
        <w:rPr>
          <w:rFonts w:eastAsia="仿宋_GB2312"/>
          <w:b/>
          <w:color w:val="000000"/>
          <w:sz w:val="32"/>
          <w:szCs w:val="32"/>
          <w:u w:val="single"/>
          <w:shd w:val="clear" w:color="auto" w:fill="FFFFFF"/>
          <w:lang w:val="zh-CN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三、部门财政支出管理情况</w:t>
      </w:r>
    </w:p>
    <w:p>
      <w:pPr>
        <w:numPr>
          <w:ilvl w:val="0"/>
          <w:numId w:val="3"/>
        </w:numPr>
        <w:spacing w:line="500" w:lineRule="exact"/>
        <w:ind w:left="0" w:firstLine="720"/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  <w:t>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2023年，根据工作实际与相关法律制度我镇进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一步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完善了内部控制制度，涉及了工作制度、纪律制度、财务制度等内容，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加强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了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预算管理、推进预算编制与预算执行相结合，提高预算管理的科学化、精细化水平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。为财政资金支出提供了制度保障，保证了财政资金的高效运行。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/>
        <w:jc w:val="both"/>
        <w:textAlignment w:val="auto"/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  <w:t>绩效目标管理情况</w:t>
      </w:r>
    </w:p>
    <w:p>
      <w:pPr>
        <w:pStyle w:val="15"/>
        <w:ind w:firstLineChars="200" w:firstLine="620"/>
        <w:rPr>
          <w:rFonts w:eastAsia="方正仿宋简体"/>
          <w:sz w:val="32"/>
          <w:szCs w:val="32"/>
          <w:lang w:val="zh-CN"/>
        </w:rPr>
      </w:pPr>
      <w:r>
        <w:rPr>
          <w:rFonts w:ascii="仿宋" w:eastAsia="仿宋" w:cs="仿宋" w:hAnsi="仿宋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</w:rPr>
        <w:t>202</w:t>
      </w:r>
      <w:r>
        <w:rPr>
          <w:rFonts w:cs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</w:rPr>
        <w:t>年，</w:t>
      </w:r>
      <w:r>
        <w:rPr>
          <w:rFonts w:cs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本单位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</w:rPr>
        <w:t>严格</w:t>
      </w:r>
      <w:r>
        <w:rPr>
          <w:rFonts w:cs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按照县级部门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</w:rPr>
        <w:t>预算编审要求，</w:t>
      </w:r>
      <w:r>
        <w:rPr>
          <w:rFonts w:cs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按时完成基础资料的报送</w:t>
      </w:r>
      <w:r>
        <w:rPr>
          <w:rFonts w:cs="仿宋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等</w:t>
      </w:r>
      <w:r>
        <w:rPr>
          <w:rFonts w:cs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eastAsia="zh-CN"/>
        </w:rPr>
        <w:t>工作。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</w:rPr>
        <w:t>从严控制机关经费，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做到不漏编，不多编，做到专款专用、规范管理、绩效引导，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</w:rPr>
        <w:t>科学编制“预算，合理</w:t>
      </w:r>
      <w:r>
        <w:rPr>
          <w:rFonts w:cs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控制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</w:rPr>
        <w:t>业务费</w:t>
      </w:r>
      <w:r>
        <w:rPr>
          <w:rFonts w:cs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用的开支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</w:rPr>
        <w:t>，精细编制项目支出和确定部门预算项目绩效目标，按时完成预算编制报送工作。在项目资金方面，严格</w:t>
      </w:r>
      <w:r>
        <w:rPr>
          <w:rFonts w:cs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监管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</w:rPr>
        <w:t>资金</w:t>
      </w:r>
      <w:r>
        <w:rPr>
          <w:rFonts w:cs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的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</w:rPr>
        <w:t>使用和划拨流程，确保资金</w:t>
      </w:r>
      <w:r>
        <w:rPr>
          <w:rFonts w:cs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eastAsia="zh-CN"/>
        </w:rPr>
        <w:t>做到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</w:rPr>
        <w:t>专款专用，支付及时</w:t>
      </w:r>
      <w:r>
        <w:rPr>
          <w:rFonts w:cs="仿宋" w:hint="eastAsia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  <w:lang w:eastAsia="zh-CN"/>
        </w:rPr>
        <w:t>。</w:t>
      </w:r>
    </w:p>
    <w:p>
      <w:pPr>
        <w:numPr>
          <w:ilvl w:val="0"/>
          <w:numId w:val="3"/>
        </w:numPr>
        <w:spacing w:line="500" w:lineRule="exact"/>
        <w:ind w:left="0" w:firstLine="720"/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  <w:t>综合管理情况</w:t>
      </w:r>
    </w:p>
    <w:p>
      <w:pPr>
        <w:pStyle w:val="15"/>
        <w:ind w:firstLineChars="200" w:firstLine="640"/>
        <w:rPr>
          <w:rFonts w:ascii="仿宋_GB2312" w:eastAsia="仿宋_GB2312" w:cs="仿宋_GB2312" w:hAnsi="仿宋_GB2312"/>
          <w:kern w:val="2"/>
          <w:sz w:val="32"/>
          <w:szCs w:val="32"/>
          <w:lang w:val="zh-CN" w:eastAsia="zh-CN" w:bidi="ar-SA"/>
        </w:rPr>
      </w:pPr>
      <w:r>
        <w:rPr>
          <w:rFonts w:ascii="仿宋_GB2312" w:eastAsia="仿宋_GB2312" w:cs="仿宋_GB2312" w:hAnsi="仿宋_GB2312" w:hint="eastAsia"/>
          <w:kern w:val="2"/>
          <w:sz w:val="32"/>
          <w:szCs w:val="32"/>
          <w:lang w:val="en-US" w:eastAsia="zh-CN" w:bidi="ar-SA"/>
        </w:rPr>
        <w:t>一</w:t>
      </w:r>
      <w:r>
        <w:rPr>
          <w:rFonts w:ascii="仿宋_GB2312" w:eastAsia="仿宋_GB2312" w:cs="仿宋_GB2312" w:hAnsi="仿宋_GB2312"/>
          <w:kern w:val="2"/>
          <w:sz w:val="32"/>
          <w:szCs w:val="32"/>
          <w:lang w:val="en-US" w:eastAsia="zh-CN" w:bidi="ar-SA"/>
        </w:rPr>
        <w:t>是严格执行“三公”经费预算，行政运行经费与上年相比明显下降，没有产生</w:t>
      </w:r>
      <w:r>
        <w:rPr>
          <w:rFonts w:ascii="仿宋_GB2312" w:eastAsia="仿宋_GB2312" w:cs="仿宋_GB2312" w:hAnsi="仿宋_GB2312" w:hint="eastAsia"/>
          <w:kern w:val="2"/>
          <w:sz w:val="32"/>
          <w:szCs w:val="32"/>
          <w:lang w:val="en-US" w:eastAsia="zh-CN" w:bidi="ar-SA"/>
        </w:rPr>
        <w:t>多余</w:t>
      </w:r>
      <w:r>
        <w:rPr>
          <w:rFonts w:ascii="仿宋_GB2312" w:eastAsia="仿宋_GB2312" w:cs="仿宋_GB2312" w:hAnsi="仿宋_GB2312"/>
          <w:kern w:val="2"/>
          <w:sz w:val="32"/>
          <w:szCs w:val="32"/>
          <w:lang w:val="en-US" w:eastAsia="zh-CN" w:bidi="ar-SA"/>
        </w:rPr>
        <w:t>债务；</w:t>
      </w:r>
      <w:r>
        <w:rPr>
          <w:rFonts w:ascii="仿宋_GB2312" w:eastAsia="仿宋_GB2312" w:cs="仿宋_GB2312" w:hAnsi="仿宋_GB2312" w:hint="eastAsia"/>
          <w:kern w:val="2"/>
          <w:sz w:val="32"/>
          <w:szCs w:val="32"/>
          <w:lang w:val="en-US" w:eastAsia="zh-CN" w:bidi="ar-SA"/>
        </w:rPr>
        <w:t>二</w:t>
      </w:r>
      <w:r>
        <w:rPr>
          <w:rFonts w:ascii="仿宋_GB2312" w:eastAsia="仿宋_GB2312" w:cs="仿宋_GB2312" w:hAnsi="仿宋_GB2312"/>
          <w:kern w:val="2"/>
          <w:sz w:val="32"/>
          <w:szCs w:val="32"/>
          <w:lang w:val="en-US" w:eastAsia="zh-CN" w:bidi="ar-SA"/>
        </w:rPr>
        <w:t>是按要求及时公开预算、决算、绩效等信息</w:t>
      </w:r>
      <w:r>
        <w:rPr>
          <w:rFonts w:ascii="仿宋_GB2312" w:eastAsia="仿宋_GB2312" w:cs="仿宋_GB2312" w:hAnsi="仿宋_GB2312" w:hint="eastAsia"/>
          <w:kern w:val="2"/>
          <w:sz w:val="32"/>
          <w:szCs w:val="32"/>
          <w:lang w:val="en-US" w:eastAsia="zh-CN" w:bidi="ar-SA"/>
        </w:rPr>
        <w:t>，保证相关信息真实、可靠</w:t>
      </w:r>
      <w:r>
        <w:rPr>
          <w:rFonts w:ascii="仿宋_GB2312" w:eastAsia="仿宋_GB2312" w:cs="仿宋_GB2312" w:hAnsi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ascii="仿宋_GB2312" w:eastAsia="仿宋_GB2312" w:cs="仿宋_GB2312" w:hAnsi="仿宋_GB2312" w:hint="eastAsia"/>
          <w:kern w:val="2"/>
          <w:sz w:val="32"/>
          <w:szCs w:val="32"/>
          <w:lang w:val="en-US" w:eastAsia="zh-CN" w:bidi="ar-SA"/>
        </w:rPr>
        <w:t>三</w:t>
      </w:r>
      <w:r>
        <w:rPr>
          <w:rFonts w:ascii="仿宋_GB2312" w:eastAsia="仿宋_GB2312" w:cs="仿宋_GB2312" w:hAnsi="仿宋_GB2312"/>
          <w:kern w:val="2"/>
          <w:sz w:val="32"/>
          <w:szCs w:val="32"/>
          <w:lang w:val="en-US" w:eastAsia="zh-CN" w:bidi="ar-SA"/>
        </w:rPr>
        <w:t>是按要求及时、准确、全面开展资产清查工作，真实准确地上报国有资产报表数据；五是内部控制制度健全完整并执行良好。</w:t>
      </w:r>
    </w:p>
    <w:p>
      <w:pPr>
        <w:numPr>
          <w:ilvl w:val="0"/>
          <w:numId w:val="3"/>
        </w:numPr>
        <w:spacing w:line="500" w:lineRule="exact"/>
        <w:ind w:left="0" w:firstLine="720"/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eastAsia="方正楷体_GBK"/>
          <w:color w:val="000000"/>
          <w:sz w:val="32"/>
          <w:szCs w:val="32"/>
          <w:shd w:val="clear" w:color="auto" w:fill="FFFFFF"/>
          <w:lang w:val="zh-CN"/>
        </w:rPr>
        <w:t>综合绩效情况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lang w:val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严格遵守相关法律法规、严格执行</w:t>
        <w:tab/>
        <w:t>财务管理制度、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严格按照资金来源、用途使用资金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，确保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资金拨付有完整的审批程序和手续；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确保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资金使用无截留、挤占、挪用、虚列支出等情况。严格执行县财政局公务卡管理暂行办法等相关制度；加强资金的使用管理，坚持厉行节约，反对奢侈浪费，按制度办事，确保每一分钱都落到实处，每一环节按程序进行。</w:t>
      </w:r>
    </w:p>
    <w:p>
      <w:pPr>
        <w:numPr>
          <w:ilvl w:val="0"/>
          <w:numId w:val="4"/>
        </w:numPr>
        <w:spacing w:line="500" w:lineRule="exact"/>
        <w:ind w:left="0" w:firstLine="720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根据部门整体支出绩效评价指标规定的内容，经我单位认真自评，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2023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年度部门整体绩效评价得分为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95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分。主要在资金评价覆盖率、评价质量和项目支出绩效上进行了部分扣分。在今后工作中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本单位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将继续加强预算管理，严格控制各项财经纪律，确保财政资金使用效率。</w:t>
      </w:r>
    </w:p>
    <w:p>
      <w:pPr>
        <w:spacing w:line="500" w:lineRule="exact"/>
        <w:ind w:firstLine="720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五、存在的问题及建议</w:t>
      </w:r>
    </w:p>
    <w:p>
      <w:pPr>
        <w:spacing w:line="500" w:lineRule="exact"/>
        <w:ind w:firstLine="720"/>
        <w:rPr>
          <w:rFonts w:eastAsia="方正仿宋简体"/>
          <w:sz w:val="32"/>
          <w:szCs w:val="32"/>
          <w:lang w:val="zh-CN"/>
        </w:rPr>
      </w:pPr>
      <w:r>
        <w:rPr>
          <w:rFonts w:eastAsia="方正仿宋简体"/>
          <w:sz w:val="32"/>
          <w:szCs w:val="32"/>
          <w:lang w:val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lang w:val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一是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预算项目执行进度迟缓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，部分流程可以不够细化、简洁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。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二是预算绩效职责认识不清，缺乏系统化的业务培训。由财政所独自完成项目的绩效申报、自评。由于财政所缺乏专业人员，缺少职能办公室的协调配合，承担了本该由业务部门承担的绩效工作，简单地将绩效目标制定、跟踪监控等专业性工作归口于财务人员，没有专人承担绩效管理职责，导致业务管理与绩效管理脱节，弱化了实施预算绩效管理的最基本环节。</w:t>
      </w:r>
    </w:p>
    <w:p>
      <w:pPr>
        <w:spacing w:line="500" w:lineRule="exact"/>
        <w:ind w:left="720"/>
        <w:rPr>
          <w:rFonts w:eastAsia="方正仿宋简体"/>
          <w:sz w:val="32"/>
          <w:szCs w:val="32"/>
          <w:lang w:val="zh-CN"/>
        </w:rPr>
      </w:pPr>
      <w:r>
        <w:rPr>
          <w:rFonts w:eastAsia="方正仿宋简体"/>
          <w:sz w:val="32"/>
          <w:szCs w:val="32"/>
          <w:lang w:val="zh-CN"/>
        </w:rPr>
        <w:t>（二）改进建议。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一是规范财务运行，加强预算支出管理。建立健全并认真执行各项资金使用管理制度，优化资金使用审批程序，确保资金支出合法、真实的前提下，做到及时支付。二是组织工作人员多学习相关法律知识，提高财务管理能力，切实增强财务人员的预算意识。同时相关职能办公室应明确职责，通过明确各职能办公室人员在预算绩效管理工作中的职责，实现层层监督。大力倡导预算绩效管理理念，切实加强舆论宣传引导，切实营造出“花钱必问效，无效必问责”的良好氛围。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Chars="238" w:right="500"/>
        <w:jc w:val="right"/>
        <w:textAlignment w:val="auto"/>
        <w:rPr>
          <w:rFonts w:ascii="仿宋_GB2312" w:eastAsia="仿宋_GB2312" w:cs="仿宋_GB2312" w:hAnsi="仿宋_GB2312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bidi w:val="0"/>
      </w:pPr>
    </w:p>
    <w:p>
      <w:pPr>
        <w:pStyle w:val="15"/>
        <w:keepNext w:val="0"/>
        <w:keepLines w:val="0"/>
        <w:pageBreakBefore w:val="0"/>
        <w:widowControl w:val="0"/>
        <w:bidi w:val="0"/>
      </w:pPr>
    </w:p>
    <w:p>
      <w:pPr>
        <w:pStyle w:val="15"/>
        <w:keepNext w:val="0"/>
        <w:keepLines w:val="0"/>
        <w:pageBreakBefore w:val="0"/>
        <w:widowControl w:val="0"/>
        <w:bidi w:val="0"/>
      </w:pPr>
      <w:bookmarkStart w:id="0" w:name="_GoBack"/>
      <w:bookmarkEnd w:id="0"/>
    </w:p>
    <w:p>
      <w:pPr>
        <w:pStyle w:val="15"/>
        <w:keepNext w:val="0"/>
        <w:keepLines w:val="0"/>
        <w:pageBreakBefore w:val="0"/>
        <w:widowControl w:val="0"/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Chars="238" w:right="500"/>
        <w:jc w:val="righ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  南江县贵民镇人民政府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Chars="238" w:right="500" w:firstLineChars="1600" w:firstLine="5120"/>
        <w:jc w:val="both"/>
        <w:textAlignment w:val="auto"/>
        <w:rPr>
          <w:rFonts w:ascii="仿宋_GB2312" w:eastAsia="仿宋_GB2312" w:cs="仿宋_GB2312" w:hAnsi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202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年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月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日</w:t>
      </w:r>
    </w:p>
    <w:p>
      <w:pPr>
        <w:widowControl/>
        <w:jc w:val="left"/>
        <w:rPr>
          <w:rFonts w:eastAsia="仿宋_GB2312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variable"/>
    <w:sig w:usb0="00000000" w:usb1="00000000" w:usb2="00000000" w:usb3="00000000" w:csb0="00040000" w:csb1="00000000"/>
  </w:font>
  <w:font w:name="Times New Roman">
    <w:altName w:val="DejaVu Sans"/>
    <w:panose1 w:val="02020603050405020304"/>
    <w:charset w:val="CC"/>
    <w:family w:val="auto"/>
    <w:pitch w:val="variable"/>
    <w:sig w:usb0="E0002EFF" w:usb1="C000785B" w:usb2="00000009" w:usb3="00000000" w:csb0="400001FF" w:csb1="FFFF0000"/>
  </w:font>
  <w:font w:name="仿宋">
    <w:altName w:val="方正仿宋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script"/>
    <w:pitch w:val="variable"/>
    <w:sig w:usb0="00000000" w:usb1="00000000" w:usb2="00000000" w:usb3="00000000" w:csb0="00040000" w:csb1="00000000"/>
  </w:font>
  <w:font w:name="宋体">
    <w:altName w:val="华文中宋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AADA308"/>
    <w:multiLevelType w:val="singleLevel"/>
    <w:tmpl w:val="BAADA308"/>
    <w:lvl w:ilvl="0">
      <w:start w:val="2"/>
      <w:numFmt w:val="chineseCounting"/>
      <w:lvlRestart w:val="0"/>
      <w:suff w:val="nothing"/>
      <w:lvlText w:val="（%1）"/>
      <w:lvlJc w:val="left"/>
      <w:pPr/>
      <w:rPr>
        <w:rFonts w:hint="eastAsia"/>
      </w:rPr>
    </w:lvl>
  </w:abstractNum>
  <w:abstractNum w:abstractNumId="1">
    <w:nsid w:val="AC566631"/>
    <w:multiLevelType w:val="singleLevel"/>
    <w:tmpl w:val="AC566631"/>
    <w:lvl w:ilvl="0">
      <w:start w:val="2"/>
      <w:numFmt w:val="chineseCounting"/>
      <w:lvlRestart w:val="0"/>
      <w:suff w:val="nothing"/>
      <w:lvlText w:val="（%1）"/>
      <w:lvlJc w:val="left"/>
      <w:pPr/>
      <w:rPr>
        <w:rFonts w:hint="eastAsia"/>
      </w:rPr>
    </w:lvl>
  </w:abstractNum>
  <w:abstractNum w:abstractNumId="2">
    <w:nsid w:val="52187589"/>
    <w:multiLevelType w:val="singleLevel"/>
    <w:tmpl w:val="52187589"/>
    <w:lvl w:ilvl="0">
      <w:start w:val="1"/>
      <w:numFmt w:val="chineseCounting"/>
      <w:lvlRestart w:val="0"/>
      <w:suff w:val="nothing"/>
      <w:lvlText w:val="（%1）"/>
      <w:lvlJc w:val="left"/>
      <w:pPr/>
      <w:rPr>
        <w:rFonts w:hint="eastAsia"/>
      </w:rPr>
    </w:lvl>
  </w:abstractNum>
  <w:abstractNum w:abstractNumId="3">
    <w:nsid w:val="A329392A"/>
    <w:multiLevelType w:val="singleLevel"/>
    <w:tmpl w:val="A329392A"/>
    <w:lvl w:ilvl="0">
      <w:start w:val="4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7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mMzMTMxYWE4Y2Y4YWZmMmU1YzM4NWFlM2MyODIzMj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微米黑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rPr>
      <w:rFonts w:ascii="仿宋" w:eastAsia="仿宋" w:cs="仿宋" w:hAnsi="仿宋"/>
      <w:sz w:val="32"/>
      <w:szCs w:val="32"/>
      <w:lang w:val="zh-CN" w:eastAsia="zh-CN" w:bidi="zh-CN"/>
    </w:rPr>
  </w:style>
  <w:style w:type="paragraph" w:customStyle="1" w:styleId="16">
    <w:name w:val="无间隔1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F08B4E2-83BC-4121-8265-22544BB4184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WPS_Yozo_Office9.0.5233.191ZH.S1</Application>
  <Pages>5</Pages>
  <Words>0</Words>
  <Characters>1530</Characters>
  <Lines>0</Lines>
  <Paragraphs>48</Paragraphs>
  <CharactersWithSpaces>2040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uos</cp:lastModifiedBy>
  <cp:revision>1</cp:revision>
  <dcterms:created xsi:type="dcterms:W3CDTF">2023-05-10T18:20:00Z</dcterms:created>
  <dcterms:modified xsi:type="dcterms:W3CDTF">2024-09-09T03:09:08Z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2052-11.8.2.11813</vt:lpwstr>
  </property>
  <property fmtid="{D5CDD505-2E9C-101B-9397-08002B2CF9AE}" pid="3" name="ICV">
    <vt:lpwstr>2AF8628777C4749E255F6166E3FCD4EC</vt:lpwstr>
  </property>
</Properties>
</file>