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方正小标宋简体" w:hAnsi="宋体" w:eastAsia="方正小标宋简体"/>
          <w:sz w:val="44"/>
          <w:szCs w:val="44"/>
        </w:rPr>
      </w:pPr>
    </w:p>
    <w:p>
      <w:pPr>
        <w:pStyle w:val="6"/>
        <w:jc w:val="center"/>
        <w:rPr>
          <w:rFonts w:ascii="方正小标宋简体" w:hAnsi="宋体" w:eastAsia="方正小标宋简体"/>
          <w:sz w:val="44"/>
          <w:szCs w:val="44"/>
        </w:rPr>
      </w:pPr>
      <w:r>
        <w:rPr>
          <w:rFonts w:hint="eastAsia" w:ascii="方正小标宋简体" w:hAnsi="宋体" w:eastAsia="方正小标宋简体"/>
          <w:sz w:val="44"/>
          <w:szCs w:val="44"/>
        </w:rPr>
        <w:t>2023年度</w:t>
      </w:r>
    </w:p>
    <w:p>
      <w:pPr>
        <w:pStyle w:val="6"/>
        <w:jc w:val="center"/>
        <w:rPr>
          <w:rFonts w:ascii="方正小标宋简体" w:hAnsi="宋体" w:eastAsia="方正小标宋简体"/>
          <w:sz w:val="44"/>
          <w:szCs w:val="44"/>
        </w:rPr>
      </w:pPr>
      <w:r>
        <w:rPr>
          <w:rFonts w:hint="eastAsia" w:ascii="方正小标宋简体" w:hAnsi="宋体" w:eastAsia="方正小标宋简体"/>
          <w:sz w:val="44"/>
          <w:szCs w:val="44"/>
        </w:rPr>
        <w:t>四川省巴中市南江县</w:t>
      </w:r>
    </w:p>
    <w:p>
      <w:pPr>
        <w:pStyle w:val="6"/>
        <w:jc w:val="center"/>
        <w:rPr>
          <w:rFonts w:ascii="方正小标宋简体" w:hAnsi="宋体" w:eastAsia="方正小标宋简体"/>
          <w:sz w:val="44"/>
          <w:szCs w:val="44"/>
        </w:rPr>
      </w:pPr>
      <w:r>
        <w:rPr>
          <w:rFonts w:hint="eastAsia" w:ascii="方正小标宋简体" w:hAnsi="宋体" w:eastAsia="方正小标宋简体"/>
          <w:sz w:val="44"/>
          <w:szCs w:val="44"/>
        </w:rPr>
        <w:t>不动产登记中心单位决算</w:t>
      </w: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黑体" w:hAnsi="黑体" w:eastAsia="黑体"/>
          <w:sz w:val="48"/>
          <w:szCs w:val="48"/>
        </w:rPr>
      </w:pPr>
      <w:r>
        <w:rPr>
          <w:rFonts w:hint="eastAsia" w:ascii="方正小标宋简体" w:hAnsi="宋体" w:eastAsia="方正小标宋简体"/>
          <w:sz w:val="36"/>
          <w:szCs w:val="36"/>
        </w:rPr>
        <w:t>公开时间：2024年9月13日</w:t>
      </w:r>
      <w:r>
        <w:rPr>
          <w:rFonts w:ascii="方正小标宋简体" w:hAnsi="宋体" w:eastAsia="方正小标宋简体"/>
          <w:sz w:val="36"/>
          <w:szCs w:val="36"/>
        </w:rPr>
        <w:br w:type="page"/>
      </w:r>
      <w:r>
        <w:rPr>
          <w:rFonts w:hint="eastAsia" w:ascii="黑体" w:hAnsi="黑体" w:eastAsia="黑体"/>
          <w:sz w:val="48"/>
          <w:szCs w:val="48"/>
        </w:rPr>
        <w:t>目录</w:t>
      </w:r>
    </w:p>
    <w:sdt>
      <w:sdtPr>
        <w:rPr>
          <w:rFonts w:ascii="Calibri" w:hAnsi="Calibri" w:eastAsia="宋体"/>
          <w:sz w:val="30"/>
          <w:szCs w:val="24"/>
          <w:lang w:val="zh-CN"/>
        </w:rPr>
        <w:id w:val="201060008"/>
        <w:docPartObj>
          <w:docPartGallery w:val="Table of Contents"/>
          <w:docPartUnique/>
        </w:docPartObj>
      </w:sdtPr>
      <w:sdtEndPr>
        <w:rPr>
          <w:rFonts w:ascii="Calibri" w:hAnsi="Calibri" w:eastAsia="宋体"/>
          <w:b/>
          <w:bCs/>
          <w:sz w:val="30"/>
          <w:szCs w:val="24"/>
          <w:lang w:val="zh-CN"/>
        </w:rPr>
      </w:sdtEndPr>
      <w:sdtContent>
        <w:p>
          <w:pPr>
            <w:pStyle w:val="13"/>
            <w:rPr>
              <w:rFonts w:asciiTheme="minorEastAsia" w:hAnsiTheme="minorEastAsia" w:eastAsiaTheme="minorEastAsia" w:cstheme="minorBidi"/>
            </w:rPr>
          </w:pPr>
          <w:r>
            <w:fldChar w:fldCharType="begin"/>
          </w:r>
          <w:r>
            <w:instrText xml:space="preserve"> TOC \o "1-3" \h \z \u </w:instrText>
          </w:r>
          <w:r>
            <w:fldChar w:fldCharType="separate"/>
          </w:r>
          <w:r>
            <w:fldChar w:fldCharType="begin"/>
          </w:r>
          <w:r>
            <w:instrText xml:space="preserve"> HYPERLINK \l "_Toc176870188" </w:instrText>
          </w:r>
          <w:r>
            <w:fldChar w:fldCharType="separate"/>
          </w:r>
          <w:r>
            <w:rPr>
              <w:rStyle w:val="20"/>
              <w:rFonts w:hint="eastAsia" w:asciiTheme="minorEastAsia" w:hAnsiTheme="minorEastAsia" w:eastAsiaTheme="minorEastAsia"/>
            </w:rPr>
            <w:t>第一部分</w:t>
          </w:r>
          <w:r>
            <w:rPr>
              <w:rStyle w:val="20"/>
              <w:rFonts w:asciiTheme="minorEastAsia" w:hAnsiTheme="minorEastAsia" w:eastAsiaTheme="minorEastAsia"/>
            </w:rPr>
            <w:t xml:space="preserve"> </w:t>
          </w:r>
          <w:r>
            <w:rPr>
              <w:rStyle w:val="20"/>
              <w:rFonts w:hint="eastAsia" w:asciiTheme="minorEastAsia" w:hAnsiTheme="minorEastAsia" w:eastAsiaTheme="minorEastAsia"/>
            </w:rPr>
            <w:t>单位概况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_Toc176870188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"_Toc176870189" </w:instrText>
          </w:r>
          <w:r>
            <w:fldChar w:fldCharType="separate"/>
          </w:r>
          <w:r>
            <w:rPr>
              <w:rStyle w:val="20"/>
              <w:rFonts w:hint="eastAsia" w:asciiTheme="minorEastAsia" w:hAnsiTheme="minorEastAsia" w:eastAsiaTheme="minorEastAsia"/>
              <w:sz w:val="28"/>
              <w:szCs w:val="28"/>
            </w:rPr>
            <w:t>一、 主要职责及工作设置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"_Toc176870190" </w:instrText>
          </w:r>
          <w:r>
            <w:fldChar w:fldCharType="separate"/>
          </w:r>
          <w:r>
            <w:rPr>
              <w:rStyle w:val="20"/>
              <w:rFonts w:hint="eastAsia" w:asciiTheme="minorEastAsia" w:hAnsiTheme="minorEastAsia" w:eastAsiaTheme="minorEastAsia"/>
              <w:sz w:val="28"/>
              <w:szCs w:val="28"/>
            </w:rPr>
            <w:t>二、机构设置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rPr>
              <w:rFonts w:asciiTheme="minorEastAsia" w:hAnsiTheme="minorEastAsia" w:eastAsiaTheme="minorEastAsia" w:cstheme="minorBidi"/>
            </w:rPr>
          </w:pPr>
          <w:r>
            <w:fldChar w:fldCharType="begin"/>
          </w:r>
          <w:r>
            <w:instrText xml:space="preserve"> HYPERLINK \l "_Toc176870191" </w:instrText>
          </w:r>
          <w:r>
            <w:fldChar w:fldCharType="separate"/>
          </w:r>
          <w:r>
            <w:rPr>
              <w:rStyle w:val="20"/>
              <w:rFonts w:hint="eastAsia" w:asciiTheme="minorEastAsia" w:hAnsiTheme="minorEastAsia" w:eastAsiaTheme="minorEastAsia"/>
            </w:rPr>
            <w:t>第二部分</w:t>
          </w:r>
          <w:r>
            <w:rPr>
              <w:rStyle w:val="20"/>
              <w:rFonts w:asciiTheme="minorEastAsia" w:hAnsiTheme="minorEastAsia" w:eastAsiaTheme="minorEastAsia"/>
            </w:rPr>
            <w:t xml:space="preserve"> 2023</w:t>
          </w:r>
          <w:r>
            <w:rPr>
              <w:rStyle w:val="20"/>
              <w:rFonts w:hint="eastAsia" w:asciiTheme="minorEastAsia" w:hAnsiTheme="minorEastAsia" w:eastAsiaTheme="minorEastAsia"/>
            </w:rPr>
            <w:t>年度单位决算情况说明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_Toc176870191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"_Toc176870192" </w:instrText>
          </w:r>
          <w:r>
            <w:fldChar w:fldCharType="separate"/>
          </w:r>
          <w:r>
            <w:rPr>
              <w:rStyle w:val="20"/>
              <w:rFonts w:hint="eastAsia" w:asciiTheme="minorEastAsia" w:hAnsiTheme="minorEastAsia" w:eastAsiaTheme="minorEastAsia"/>
              <w:sz w:val="28"/>
              <w:szCs w:val="28"/>
            </w:rPr>
            <w:t>一、收</w:t>
          </w:r>
          <w:r>
            <w:rPr>
              <w:rStyle w:val="20"/>
              <w:rFonts w:hint="eastAsia" w:asciiTheme="minorEastAsia" w:hAnsiTheme="minorEastAsia" w:eastAsiaTheme="minorEastAsia"/>
              <w:bCs/>
              <w:sz w:val="28"/>
              <w:szCs w:val="28"/>
            </w:rPr>
            <w:t>入支出决算总体情况说明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"_Toc176870193" </w:instrText>
          </w:r>
          <w:r>
            <w:fldChar w:fldCharType="separate"/>
          </w:r>
          <w:r>
            <w:rPr>
              <w:rStyle w:val="20"/>
              <w:rFonts w:hint="eastAsia" w:asciiTheme="minorEastAsia" w:hAnsiTheme="minorEastAsia" w:eastAsiaTheme="minorEastAsia"/>
              <w:sz w:val="28"/>
              <w:szCs w:val="28"/>
            </w:rPr>
            <w:t>二、收</w:t>
          </w:r>
          <w:r>
            <w:rPr>
              <w:rStyle w:val="20"/>
              <w:rFonts w:hint="eastAsia" w:asciiTheme="minorEastAsia" w:hAnsiTheme="minorEastAsia" w:eastAsiaTheme="minorEastAsia"/>
              <w:bCs/>
              <w:sz w:val="28"/>
              <w:szCs w:val="28"/>
            </w:rPr>
            <w:t>入决算情况说明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"_Toc176870196" </w:instrText>
          </w:r>
          <w:r>
            <w:fldChar w:fldCharType="separate"/>
          </w:r>
          <w:r>
            <w:rPr>
              <w:rStyle w:val="20"/>
              <w:rFonts w:hint="eastAsia" w:asciiTheme="minorEastAsia" w:hAnsiTheme="minorEastAsia" w:eastAsiaTheme="minorEastAsia"/>
              <w:sz w:val="28"/>
              <w:szCs w:val="28"/>
            </w:rPr>
            <w:t>三、支</w:t>
          </w:r>
          <w:r>
            <w:rPr>
              <w:rStyle w:val="20"/>
              <w:rFonts w:hint="eastAsia" w:asciiTheme="minorEastAsia" w:hAnsiTheme="minorEastAsia" w:eastAsiaTheme="minorEastAsia"/>
              <w:bCs/>
              <w:sz w:val="28"/>
              <w:szCs w:val="28"/>
            </w:rPr>
            <w:t>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"_Toc176870198" </w:instrText>
          </w:r>
          <w:r>
            <w:fldChar w:fldCharType="separate"/>
          </w:r>
          <w:r>
            <w:rPr>
              <w:rStyle w:val="20"/>
              <w:rFonts w:hint="eastAsia" w:asciiTheme="minorEastAsia" w:hAnsiTheme="minorEastAsia" w:eastAsiaTheme="minorEastAsia"/>
              <w:sz w:val="28"/>
              <w:szCs w:val="28"/>
            </w:rPr>
            <w:t>四、财</w:t>
          </w:r>
          <w:r>
            <w:rPr>
              <w:rStyle w:val="20"/>
              <w:rFonts w:hint="eastAsia" w:asciiTheme="minorEastAsia" w:hAnsiTheme="minorEastAsia" w:eastAsiaTheme="minorEastAsia"/>
              <w:bCs/>
              <w:sz w:val="28"/>
              <w:szCs w:val="28"/>
            </w:rPr>
            <w:t>政拨款收入支出决算总体情况说明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_Toc176870198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"_Toc176870199" </w:instrText>
          </w:r>
          <w:r>
            <w:fldChar w:fldCharType="separate"/>
          </w:r>
          <w:r>
            <w:rPr>
              <w:rStyle w:val="20"/>
              <w:rFonts w:hint="eastAsia" w:asciiTheme="minorEastAsia" w:hAnsiTheme="minorEastAsia" w:eastAsiaTheme="minorEastAsia"/>
              <w:sz w:val="28"/>
              <w:szCs w:val="28"/>
            </w:rPr>
            <w:t>五、</w:t>
          </w:r>
          <w:r>
            <w:rPr>
              <w:rStyle w:val="20"/>
              <w:rFonts w:hint="eastAsia" w:asciiTheme="minorEastAsia" w:hAnsiTheme="minorEastAsia" w:eastAsiaTheme="minorEastAsia"/>
              <w:b/>
              <w:sz w:val="28"/>
              <w:szCs w:val="28"/>
            </w:rPr>
            <w:t>一</w:t>
          </w:r>
          <w:r>
            <w:rPr>
              <w:rStyle w:val="20"/>
              <w:rFonts w:hint="eastAsia" w:asciiTheme="minorEastAsia" w:hAnsiTheme="minorEastAsia" w:eastAsiaTheme="minorEastAsia"/>
              <w:bCs/>
              <w:sz w:val="28"/>
              <w:szCs w:val="28"/>
            </w:rPr>
            <w:t>般公共预算财政拨款支出决算情况说明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_Toc176870199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"_Toc176870204" </w:instrText>
          </w:r>
          <w:r>
            <w:fldChar w:fldCharType="separate"/>
          </w:r>
          <w:r>
            <w:rPr>
              <w:rStyle w:val="20"/>
              <w:rFonts w:hint="eastAsia" w:asciiTheme="minorEastAsia" w:hAnsiTheme="minorEastAsia" w:eastAsiaTheme="minorEastAsia"/>
              <w:sz w:val="28"/>
              <w:szCs w:val="28"/>
            </w:rPr>
            <w:t>六</w:t>
          </w:r>
          <w:r>
            <w:rPr>
              <w:rStyle w:val="20"/>
              <w:rFonts w:hint="eastAsia" w:asciiTheme="minorEastAsia" w:hAnsiTheme="minorEastAsia" w:eastAsiaTheme="minorEastAsia"/>
              <w:b/>
              <w:sz w:val="28"/>
              <w:szCs w:val="28"/>
            </w:rPr>
            <w:t>、一</w:t>
          </w:r>
          <w:r>
            <w:rPr>
              <w:rStyle w:val="20"/>
              <w:rFonts w:hint="eastAsia" w:asciiTheme="minorEastAsia" w:hAnsiTheme="minorEastAsia" w:eastAsiaTheme="minorEastAsia"/>
              <w:bCs/>
              <w:sz w:val="28"/>
              <w:szCs w:val="28"/>
            </w:rPr>
            <w:t>般公共预算财政拨款基本支出决算情况说明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"_Toc176870205" </w:instrText>
          </w:r>
          <w:r>
            <w:fldChar w:fldCharType="separate"/>
          </w:r>
          <w:r>
            <w:rPr>
              <w:rStyle w:val="20"/>
              <w:rFonts w:hint="eastAsia" w:asciiTheme="minorEastAsia" w:hAnsiTheme="minorEastAsia" w:eastAsiaTheme="minorEastAsia"/>
              <w:sz w:val="28"/>
              <w:szCs w:val="28"/>
            </w:rPr>
            <w:t>七、</w:t>
          </w:r>
          <w:r>
            <w:rPr>
              <w:rStyle w:val="20"/>
              <w:rFonts w:hint="eastAsia" w:asciiTheme="minorEastAsia" w:hAnsiTheme="minorEastAsia" w:eastAsiaTheme="minorEastAsia"/>
              <w:bCs/>
              <w:sz w:val="28"/>
              <w:szCs w:val="28"/>
            </w:rPr>
            <w:t>财政拨款</w:t>
          </w:r>
          <w:r>
            <w:rPr>
              <w:rStyle w:val="20"/>
              <w:rFonts w:asciiTheme="minorEastAsia" w:hAnsiTheme="minorEastAsia" w:eastAsiaTheme="minorEastAsia"/>
              <w:b/>
              <w:bCs/>
              <w:sz w:val="28"/>
              <w:szCs w:val="28"/>
            </w:rPr>
            <w:t>“</w:t>
          </w:r>
          <w:r>
            <w:rPr>
              <w:rStyle w:val="20"/>
              <w:rFonts w:hint="eastAsia" w:asciiTheme="minorEastAsia" w:hAnsiTheme="minorEastAsia" w:eastAsiaTheme="minorEastAsia"/>
              <w:bCs/>
              <w:sz w:val="28"/>
              <w:szCs w:val="28"/>
            </w:rPr>
            <w:t>三公”经费支出决算情况说明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"_Toc176870208" </w:instrText>
          </w:r>
          <w:r>
            <w:fldChar w:fldCharType="separate"/>
          </w:r>
          <w:r>
            <w:rPr>
              <w:rStyle w:val="20"/>
              <w:rFonts w:hint="eastAsia" w:asciiTheme="minorEastAsia" w:hAnsiTheme="minorEastAsia" w:eastAsiaTheme="minorEastAsia"/>
              <w:sz w:val="28"/>
              <w:szCs w:val="28"/>
            </w:rPr>
            <w:t>八、</w:t>
          </w:r>
          <w:r>
            <w:rPr>
              <w:rStyle w:val="20"/>
              <w:rFonts w:hint="eastAsia" w:asciiTheme="minorEastAsia" w:hAnsiTheme="minorEastAsia" w:eastAsiaTheme="minorEastAsia"/>
              <w:bCs/>
              <w:sz w:val="28"/>
              <w:szCs w:val="28"/>
            </w:rPr>
            <w:t>政府性基金预算支出决算情况说明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_Toc176870208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"_Toc176870209" </w:instrText>
          </w:r>
          <w:r>
            <w:fldChar w:fldCharType="separate"/>
          </w:r>
          <w:r>
            <w:rPr>
              <w:rStyle w:val="20"/>
              <w:rFonts w:hint="eastAsia" w:asciiTheme="minorEastAsia" w:hAnsiTheme="minorEastAsia" w:eastAsiaTheme="minorEastAsia"/>
              <w:bCs/>
              <w:sz w:val="28"/>
              <w:szCs w:val="28"/>
            </w:rPr>
            <w:t>九、国有资本经营预算支出决算情况说明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_Toc176870209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"_Toc176870210" </w:instrText>
          </w:r>
          <w:r>
            <w:fldChar w:fldCharType="separate"/>
          </w:r>
          <w:r>
            <w:rPr>
              <w:rStyle w:val="20"/>
              <w:rFonts w:hint="eastAsia" w:asciiTheme="minorEastAsia" w:hAnsiTheme="minorEastAsia" w:eastAsiaTheme="minorEastAsia"/>
              <w:bCs/>
              <w:sz w:val="28"/>
              <w:szCs w:val="28"/>
            </w:rPr>
            <w:t>十、其他重要事项的情况说明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_Toc176870210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rPr>
              <w:rFonts w:asciiTheme="minorEastAsia" w:hAnsiTheme="minorEastAsia" w:eastAsiaTheme="minorEastAsia" w:cstheme="minorBidi"/>
            </w:rPr>
          </w:pPr>
          <w:r>
            <w:fldChar w:fldCharType="begin"/>
          </w:r>
          <w:r>
            <w:instrText xml:space="preserve"> HYPERLINK \l "_Toc176870215" </w:instrText>
          </w:r>
          <w:r>
            <w:fldChar w:fldCharType="separate"/>
          </w:r>
          <w:r>
            <w:rPr>
              <w:rStyle w:val="20"/>
              <w:rFonts w:hint="eastAsia" w:asciiTheme="minorEastAsia" w:hAnsiTheme="minorEastAsia" w:eastAsiaTheme="minorEastAsia"/>
            </w:rPr>
            <w:t>第三部分</w:t>
          </w:r>
          <w:r>
            <w:rPr>
              <w:rStyle w:val="20"/>
              <w:rFonts w:asciiTheme="minorEastAsia" w:hAnsiTheme="minorEastAsia" w:eastAsiaTheme="minorEastAsia"/>
            </w:rPr>
            <w:t xml:space="preserve"> </w:t>
          </w:r>
          <w:r>
            <w:rPr>
              <w:rStyle w:val="20"/>
              <w:rFonts w:hint="eastAsia" w:asciiTheme="minorEastAsia" w:hAnsiTheme="minorEastAsia" w:eastAsiaTheme="minorEastAsia"/>
            </w:rPr>
            <w:t>名</w:t>
          </w:r>
          <w:r>
            <w:rPr>
              <w:rStyle w:val="20"/>
              <w:rFonts w:hint="eastAsia" w:asciiTheme="minorEastAsia" w:hAnsiTheme="minorEastAsia" w:eastAsiaTheme="minorEastAsia"/>
              <w:bCs/>
              <w:kern w:val="44"/>
            </w:rPr>
            <w:t>词解释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_Toc176870215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rPr>
              <w:rFonts w:asciiTheme="minorEastAsia" w:hAnsiTheme="minorEastAsia" w:eastAsiaTheme="minorEastAsia" w:cstheme="minorBidi"/>
            </w:rPr>
          </w:pPr>
          <w:r>
            <w:fldChar w:fldCharType="begin"/>
          </w:r>
          <w:r>
            <w:instrText xml:space="preserve"> HYPERLINK \l "_Toc176870216" </w:instrText>
          </w:r>
          <w:r>
            <w:fldChar w:fldCharType="separate"/>
          </w:r>
          <w:r>
            <w:rPr>
              <w:rStyle w:val="20"/>
              <w:rFonts w:hint="eastAsia" w:asciiTheme="minorEastAsia" w:hAnsiTheme="minorEastAsia" w:eastAsiaTheme="minorEastAsia"/>
            </w:rPr>
            <w:t>第</w:t>
          </w:r>
          <w:r>
            <w:rPr>
              <w:rStyle w:val="20"/>
              <w:rFonts w:hint="eastAsia" w:asciiTheme="minorEastAsia" w:hAnsiTheme="minorEastAsia" w:eastAsiaTheme="minorEastAsia"/>
              <w:bCs/>
              <w:kern w:val="44"/>
            </w:rPr>
            <w:t>四部分</w:t>
          </w:r>
          <w:r>
            <w:rPr>
              <w:rStyle w:val="20"/>
              <w:rFonts w:asciiTheme="minorEastAsia" w:hAnsiTheme="minorEastAsia" w:eastAsiaTheme="minorEastAsia"/>
              <w:bCs/>
              <w:kern w:val="44"/>
            </w:rPr>
            <w:t xml:space="preserve"> </w:t>
          </w:r>
          <w:r>
            <w:rPr>
              <w:rStyle w:val="20"/>
              <w:rFonts w:hint="eastAsia" w:asciiTheme="minorEastAsia" w:hAnsiTheme="minorEastAsia" w:eastAsiaTheme="minorEastAsia"/>
              <w:bCs/>
              <w:kern w:val="44"/>
            </w:rPr>
            <w:t>附件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_Toc176870216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rPr>
              <w:rFonts w:asciiTheme="minorEastAsia" w:hAnsiTheme="minorEastAsia" w:eastAsiaTheme="minorEastAsia" w:cstheme="minorBidi"/>
            </w:rPr>
          </w:pPr>
          <w:r>
            <w:fldChar w:fldCharType="begin"/>
          </w:r>
          <w:r>
            <w:instrText xml:space="preserve"> HYPERLINK \l "_Toc176870218" </w:instrText>
          </w:r>
          <w:r>
            <w:fldChar w:fldCharType="separate"/>
          </w:r>
          <w:r>
            <w:rPr>
              <w:rStyle w:val="20"/>
              <w:rFonts w:hint="eastAsia" w:asciiTheme="minorEastAsia" w:hAnsiTheme="minorEastAsia" w:eastAsiaTheme="minorEastAsia"/>
            </w:rPr>
            <w:t>第</w:t>
          </w:r>
          <w:r>
            <w:rPr>
              <w:rStyle w:val="20"/>
              <w:rFonts w:hint="eastAsia" w:asciiTheme="minorEastAsia" w:hAnsiTheme="minorEastAsia" w:eastAsiaTheme="minorEastAsia"/>
              <w:bCs/>
              <w:kern w:val="44"/>
            </w:rPr>
            <w:t>五部分</w:t>
          </w:r>
          <w:r>
            <w:rPr>
              <w:rStyle w:val="20"/>
              <w:rFonts w:asciiTheme="minorEastAsia" w:hAnsiTheme="minorEastAsia" w:eastAsiaTheme="minorEastAsia"/>
              <w:bCs/>
              <w:kern w:val="44"/>
            </w:rPr>
            <w:t xml:space="preserve"> </w:t>
          </w:r>
          <w:r>
            <w:rPr>
              <w:rStyle w:val="20"/>
              <w:rFonts w:hint="eastAsia" w:asciiTheme="minorEastAsia" w:hAnsiTheme="minorEastAsia" w:eastAsiaTheme="minorEastAsia"/>
              <w:bCs/>
              <w:kern w:val="44"/>
            </w:rPr>
            <w:t>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_Toc176870218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"_Toc176870219" </w:instrText>
          </w:r>
          <w:r>
            <w:fldChar w:fldCharType="separate"/>
          </w:r>
          <w:r>
            <w:rPr>
              <w:rStyle w:val="20"/>
              <w:rFonts w:hint="eastAsia" w:asciiTheme="minorEastAsia" w:hAnsiTheme="minorEastAsia" w:eastAsiaTheme="minorEastAsia"/>
              <w:sz w:val="28"/>
              <w:szCs w:val="28"/>
            </w:rPr>
            <w:t>一、收入支出决算总表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_Toc176870219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"_Toc176870220" </w:instrText>
          </w:r>
          <w:r>
            <w:fldChar w:fldCharType="separate"/>
          </w:r>
          <w:r>
            <w:rPr>
              <w:rStyle w:val="20"/>
              <w:rFonts w:hint="eastAsia" w:asciiTheme="minorEastAsia" w:hAnsiTheme="minorEastAsia" w:eastAsiaTheme="minorEastAsia"/>
              <w:sz w:val="28"/>
              <w:szCs w:val="28"/>
            </w:rPr>
            <w:t>二、收入决算表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"_Toc176870221" </w:instrText>
          </w:r>
          <w:r>
            <w:fldChar w:fldCharType="separate"/>
          </w:r>
          <w:r>
            <w:rPr>
              <w:rStyle w:val="20"/>
              <w:rFonts w:hint="eastAsia" w:asciiTheme="minorEastAsia" w:hAnsiTheme="minorEastAsia" w:eastAsiaTheme="minorEastAsia"/>
              <w:sz w:val="28"/>
              <w:szCs w:val="28"/>
            </w:rPr>
            <w:t>三、支出决算表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"_Toc176870222" </w:instrText>
          </w:r>
          <w:r>
            <w:fldChar w:fldCharType="separate"/>
          </w:r>
          <w:r>
            <w:rPr>
              <w:rStyle w:val="20"/>
              <w:rFonts w:hint="eastAsia" w:asciiTheme="minorEastAsia" w:hAnsiTheme="minorEastAsia" w:eastAsiaTheme="minorEastAsia"/>
              <w:sz w:val="28"/>
              <w:szCs w:val="28"/>
            </w:rPr>
            <w:t>四、财政拨款收入支出决算总表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"_Toc176870223" </w:instrText>
          </w:r>
          <w:r>
            <w:fldChar w:fldCharType="separate"/>
          </w:r>
          <w:r>
            <w:rPr>
              <w:rStyle w:val="20"/>
              <w:rFonts w:hint="eastAsia" w:asciiTheme="minorEastAsia" w:hAnsiTheme="minorEastAsia" w:eastAsiaTheme="minorEastAsia"/>
              <w:sz w:val="28"/>
              <w:szCs w:val="28"/>
            </w:rPr>
            <w:t>五、财政拨款支出决算明细表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"_Toc176870224" </w:instrText>
          </w:r>
          <w:r>
            <w:fldChar w:fldCharType="separate"/>
          </w:r>
          <w:r>
            <w:rPr>
              <w:rStyle w:val="20"/>
              <w:rFonts w:hint="eastAsia" w:asciiTheme="minorEastAsia" w:hAnsiTheme="minorEastAsia" w:eastAsiaTheme="minorEastAsia"/>
              <w:sz w:val="28"/>
              <w:szCs w:val="28"/>
            </w:rPr>
            <w:t>六、一般公共预算财政拨款支出决算表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"_Toc176870225" </w:instrText>
          </w:r>
          <w:r>
            <w:fldChar w:fldCharType="separate"/>
          </w:r>
          <w:r>
            <w:rPr>
              <w:rStyle w:val="20"/>
              <w:rFonts w:hint="eastAsia" w:asciiTheme="minorEastAsia" w:hAnsiTheme="minorEastAsia" w:eastAsiaTheme="minorEastAsia"/>
              <w:sz w:val="28"/>
              <w:szCs w:val="28"/>
            </w:rPr>
            <w:t>七、一般公共预算财政拨款支出决算明细表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"_Toc176870226" </w:instrText>
          </w:r>
          <w:r>
            <w:fldChar w:fldCharType="separate"/>
          </w:r>
          <w:r>
            <w:rPr>
              <w:rStyle w:val="20"/>
              <w:rFonts w:hint="eastAsia" w:asciiTheme="minorEastAsia" w:hAnsiTheme="minorEastAsia" w:eastAsiaTheme="minorEastAsia"/>
              <w:sz w:val="28"/>
              <w:szCs w:val="28"/>
            </w:rPr>
            <w:t>八、一般公共预算财政拨款基本支出决算表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"_Toc176870227" </w:instrText>
          </w:r>
          <w:r>
            <w:fldChar w:fldCharType="separate"/>
          </w:r>
          <w:r>
            <w:rPr>
              <w:rStyle w:val="20"/>
              <w:rFonts w:hint="eastAsia" w:asciiTheme="minorEastAsia" w:hAnsiTheme="minorEastAsia" w:eastAsiaTheme="minorEastAsia"/>
              <w:sz w:val="28"/>
              <w:szCs w:val="28"/>
            </w:rPr>
            <w:t>九、一般公共预算财政拨款项目支出决算表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"_Toc176870228" </w:instrText>
          </w:r>
          <w:r>
            <w:fldChar w:fldCharType="separate"/>
          </w:r>
          <w:r>
            <w:rPr>
              <w:rStyle w:val="20"/>
              <w:rFonts w:hint="eastAsia" w:asciiTheme="minorEastAsia" w:hAnsiTheme="minorEastAsia" w:eastAsiaTheme="minorEastAsia"/>
              <w:sz w:val="28"/>
              <w:szCs w:val="28"/>
            </w:rPr>
            <w:t>十、政府性基金预算财政拨款收入支出决算表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"_Toc176870229" </w:instrText>
          </w:r>
          <w:r>
            <w:fldChar w:fldCharType="separate"/>
          </w:r>
          <w:r>
            <w:rPr>
              <w:rStyle w:val="20"/>
              <w:rFonts w:hint="eastAsia" w:asciiTheme="minorEastAsia" w:hAnsiTheme="minorEastAsia" w:eastAsiaTheme="minorEastAsia"/>
              <w:sz w:val="28"/>
              <w:szCs w:val="28"/>
            </w:rPr>
            <w:t>十一、国有资本经营预算财政拨款收入支出决算表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_Toc176870229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EastAsia" w:hAnsiTheme="minorEastAsia" w:eastAsiaTheme="minorEastAsia" w:cstheme="minorBidi"/>
              <w:sz w:val="28"/>
              <w:szCs w:val="28"/>
            </w:rPr>
          </w:pPr>
          <w:r>
            <w:fldChar w:fldCharType="begin"/>
          </w:r>
          <w:r>
            <w:instrText xml:space="preserve"> HYPERLINK \l "_Toc176870230" </w:instrText>
          </w:r>
          <w:r>
            <w:fldChar w:fldCharType="separate"/>
          </w:r>
          <w:r>
            <w:rPr>
              <w:rStyle w:val="20"/>
              <w:rFonts w:hint="eastAsia" w:asciiTheme="minorEastAsia" w:hAnsiTheme="minorEastAsia" w:eastAsiaTheme="minorEastAsia"/>
              <w:sz w:val="28"/>
              <w:szCs w:val="28"/>
            </w:rPr>
            <w:t>十二、国有资本经营预算财政拨款支出决算表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_Toc176870230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ind w:left="600"/>
            <w:rPr>
              <w:rFonts w:asciiTheme="minorHAnsi" w:hAnsiTheme="minorHAnsi" w:eastAsiaTheme="minorEastAsia" w:cstheme="minorBidi"/>
              <w:szCs w:val="22"/>
            </w:rPr>
          </w:pPr>
          <w:r>
            <w:fldChar w:fldCharType="begin"/>
          </w:r>
          <w:r>
            <w:instrText xml:space="preserve"> HYPERLINK \l "_Toc176870231" </w:instrText>
          </w:r>
          <w:r>
            <w:fldChar w:fldCharType="separate"/>
          </w:r>
          <w:r>
            <w:rPr>
              <w:rStyle w:val="20"/>
              <w:rFonts w:hint="eastAsia" w:asciiTheme="minorEastAsia" w:hAnsiTheme="minorEastAsia" w:eastAsiaTheme="minorEastAsia"/>
              <w:sz w:val="28"/>
              <w:szCs w:val="28"/>
            </w:rPr>
            <w:t>十三、财政拨款“三公”经费支出决算表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_Toc176870231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rPr>
              <w:b/>
              <w:bCs/>
              <w:lang w:val="zh-CN"/>
            </w:rPr>
          </w:pPr>
          <w:r>
            <w:rPr>
              <w:b/>
              <w:bCs/>
              <w:lang w:val="zh-CN"/>
            </w:rPr>
            <w:fldChar w:fldCharType="end"/>
          </w:r>
        </w:p>
      </w:sdtContent>
    </w:sdt>
    <w:p>
      <w:pPr>
        <w:pStyle w:val="3"/>
        <w:ind w:right="440"/>
        <w:jc w:val="center"/>
        <w:rPr>
          <w:rStyle w:val="21"/>
          <w:rFonts w:ascii="黑体" w:hAnsi="黑体" w:eastAsia="黑体"/>
          <w:b w:val="0"/>
          <w:bCs w:val="0"/>
        </w:rPr>
      </w:pPr>
      <w:r>
        <w:rPr>
          <w:rFonts w:ascii="仿宋" w:hAnsi="仿宋" w:eastAsia="仿宋"/>
          <w:b w:val="0"/>
          <w:sz w:val="24"/>
        </w:rPr>
        <w:br w:type="page"/>
      </w:r>
      <w:bookmarkStart w:id="0" w:name="_Toc176870188"/>
      <w:r>
        <w:rPr>
          <w:rFonts w:hint="eastAsia" w:ascii="黑体" w:hAnsi="黑体" w:eastAsia="黑体"/>
          <w:b w:val="0"/>
        </w:rPr>
        <w:t>第一部分 单位</w:t>
      </w:r>
      <w:r>
        <w:rPr>
          <w:rStyle w:val="21"/>
          <w:rFonts w:hint="eastAsia" w:ascii="黑体" w:hAnsi="黑体" w:eastAsia="黑体"/>
          <w:b w:val="0"/>
          <w:bCs w:val="0"/>
        </w:rPr>
        <w:t>概况</w:t>
      </w:r>
      <w:bookmarkEnd w:id="0"/>
    </w:p>
    <w:p>
      <w:pPr>
        <w:widowControl/>
        <w:jc w:val="left"/>
        <w:rPr>
          <w:rFonts w:ascii="黑体" w:eastAsia="黑体"/>
          <w:sz w:val="32"/>
          <w:szCs w:val="32"/>
        </w:rPr>
      </w:pPr>
    </w:p>
    <w:p>
      <w:pPr>
        <w:pStyle w:val="4"/>
        <w:numPr>
          <w:ilvl w:val="0"/>
          <w:numId w:val="1"/>
        </w:numPr>
        <w:rPr>
          <w:rStyle w:val="22"/>
          <w:rFonts w:ascii="黑体" w:hAnsi="黑体" w:eastAsia="黑体"/>
          <w:b w:val="0"/>
          <w:bCs w:val="0"/>
        </w:rPr>
      </w:pPr>
      <w:bookmarkStart w:id="1" w:name="_Toc176870189"/>
      <w:r>
        <w:rPr>
          <w:rStyle w:val="22"/>
          <w:rFonts w:hint="eastAsia" w:ascii="黑体" w:hAnsi="黑体" w:eastAsia="黑体"/>
          <w:b w:val="0"/>
          <w:bCs w:val="0"/>
        </w:rPr>
        <w:t>主要职责及工作设置</w:t>
      </w:r>
      <w:bookmarkEnd w:id="1"/>
    </w:p>
    <w:p>
      <w:pPr>
        <w:pStyle w:val="6"/>
        <w:spacing w:line="560" w:lineRule="exact"/>
        <w:ind w:firstLine="641" w:firstLineChars="213"/>
        <w:rPr>
          <w:rFonts w:ascii="宋体" w:hAnsi="宋体" w:cs="宋体"/>
          <w:b/>
          <w:bCs/>
          <w:szCs w:val="30"/>
        </w:rPr>
      </w:pPr>
      <w:bookmarkStart w:id="2" w:name="_Toc79739836"/>
      <w:bookmarkStart w:id="3" w:name="_Toc15377198"/>
      <w:bookmarkStart w:id="4" w:name="_Toc15378445"/>
      <w:r>
        <w:rPr>
          <w:rFonts w:hint="eastAsia" w:ascii="宋体" w:hAnsi="宋体" w:cs="宋体"/>
          <w:b/>
          <w:bCs/>
          <w:szCs w:val="30"/>
        </w:rPr>
        <w:t>（一）主要职能</w:t>
      </w:r>
      <w:bookmarkEnd w:id="2"/>
      <w:bookmarkEnd w:id="3"/>
      <w:bookmarkEnd w:id="4"/>
    </w:p>
    <w:p>
      <w:pPr>
        <w:pStyle w:val="6"/>
        <w:spacing w:line="560" w:lineRule="exact"/>
        <w:ind w:firstLine="639" w:firstLineChars="213"/>
        <w:rPr>
          <w:rFonts w:ascii="宋体" w:hAnsi="宋体" w:cs="宋体"/>
          <w:szCs w:val="30"/>
        </w:rPr>
      </w:pPr>
      <w:bookmarkStart w:id="5" w:name="_Toc15378446"/>
      <w:bookmarkStart w:id="6" w:name="_Toc15377199"/>
      <w:r>
        <w:rPr>
          <w:rFonts w:hint="eastAsia" w:ascii="宋体" w:hAnsi="宋体" w:cs="宋体"/>
          <w:szCs w:val="30"/>
        </w:rPr>
        <w:t>按照预算管理有关规定，目前部门预算的编制实行综合预算制度，即全部收入和支出都反映在预算中。 　</w:t>
      </w:r>
    </w:p>
    <w:p>
      <w:pPr>
        <w:pStyle w:val="6"/>
        <w:spacing w:line="560" w:lineRule="exact"/>
        <w:rPr>
          <w:rFonts w:ascii="宋体" w:hAnsi="宋体" w:cs="宋体"/>
          <w:szCs w:val="30"/>
        </w:rPr>
      </w:pPr>
      <w:r>
        <w:rPr>
          <w:rFonts w:hint="eastAsia" w:ascii="宋体" w:hAnsi="宋体" w:cs="宋体"/>
          <w:szCs w:val="30"/>
        </w:rPr>
        <w:t>　　南江县不动产登记中心是经南江县人民政府批准设立的事业单位，主要工作职责是负责全县</w:t>
      </w:r>
      <w:r>
        <w:rPr>
          <w:rFonts w:hint="eastAsia" w:ascii="宋体" w:hAnsi="宋体" w:cs="宋体"/>
          <w:szCs w:val="30"/>
          <w:lang w:eastAsia="zh-CN"/>
        </w:rPr>
        <w:t>不动</w:t>
      </w:r>
      <w:r>
        <w:rPr>
          <w:rFonts w:hint="eastAsia" w:ascii="宋体" w:hAnsi="宋体" w:cs="宋体"/>
          <w:szCs w:val="30"/>
        </w:rPr>
        <w:t>产权登记工作。基本职能：1、宣传贯彻实施《中华人民共和国物权法</w:t>
      </w:r>
      <w:r>
        <w:rPr>
          <w:rFonts w:hint="eastAsia" w:ascii="宋体" w:hAnsi="宋体" w:cs="宋体"/>
          <w:szCs w:val="30"/>
        </w:rPr>
        <w:t>》、《不动产登记暂行条例》以及国家、省关于不动产登记的法规、规章和政策；2、承办全县土地、房屋登记、林地登记等不动产登记工作；3、负责拟定不动产登记业务规范和工作流程；4、负责统计、分析、依法提供不动产登记查询服务；5、负责不动产登记数据资料的整理，保管和备份，以及不动产登记档案的收集、整理、归档工作；6、完成主管部门交办的其他工作。</w:t>
      </w:r>
    </w:p>
    <w:p>
      <w:pPr>
        <w:pStyle w:val="6"/>
        <w:spacing w:before="93"/>
        <w:ind w:firstLine="641" w:firstLineChars="213"/>
        <w:rPr>
          <w:rFonts w:ascii="宋体" w:hAnsi="宋体" w:cs="宋体"/>
          <w:b/>
          <w:bCs/>
          <w:szCs w:val="30"/>
        </w:rPr>
      </w:pPr>
      <w:bookmarkStart w:id="7" w:name="_Toc79739837"/>
      <w:r>
        <w:rPr>
          <w:rFonts w:hint="eastAsia" w:ascii="宋体" w:hAnsi="宋体" w:cs="宋体"/>
          <w:b/>
          <w:bCs/>
          <w:szCs w:val="30"/>
        </w:rPr>
        <w:t>（二）2023年重点工作完成情况</w:t>
      </w:r>
      <w:bookmarkEnd w:id="5"/>
      <w:bookmarkEnd w:id="6"/>
      <w:bookmarkEnd w:id="7"/>
      <w:bookmarkStart w:id="8" w:name="_Toc15377200"/>
      <w:bookmarkStart w:id="9" w:name="_Toc15396601"/>
    </w:p>
    <w:p>
      <w:pPr>
        <w:spacing w:line="576" w:lineRule="exact"/>
        <w:ind w:firstLine="600" w:firstLineChars="200"/>
        <w:rPr>
          <w:rFonts w:ascii="宋体" w:hAnsi="宋体" w:cs="宋体"/>
          <w:kern w:val="0"/>
          <w:szCs w:val="30"/>
        </w:rPr>
      </w:pPr>
      <w:bookmarkStart w:id="10" w:name="_Toc9776"/>
      <w:r>
        <w:rPr>
          <w:rFonts w:hint="eastAsia" w:ascii="宋体" w:hAnsi="宋体" w:cs="宋体"/>
          <w:kern w:val="0"/>
          <w:szCs w:val="30"/>
        </w:rPr>
        <w:t>持续深化“放管服”改革。切实推进“一网通办”前提下的“最多跑一次”改革，深化基于信息化的“一窗受理”改革，积极对接全市不动</w:t>
      </w:r>
      <w:bookmarkStart w:id="53" w:name="_GoBack"/>
      <w:bookmarkEnd w:id="53"/>
      <w:r>
        <w:rPr>
          <w:rFonts w:hint="eastAsia" w:ascii="宋体" w:hAnsi="宋体" w:cs="宋体"/>
          <w:kern w:val="0"/>
          <w:szCs w:val="30"/>
        </w:rPr>
        <w:t>产登记信息平台建设统一集中部署，探索“互联网＋不动产登记”，着力推广不动产登记电子证照应用，全力推进商品房分户、二手房过户、夫妻财产约定过户等不动产登记事项“一件事一次办”，并在政务一体化平台上发布办事指南和流程，共计办理5689件。按照“四办”“川渝通办”要求，加强窗口的综合服务能力建设，提升不动产登记政务服务质效，增强了企业群众获得感和幸福感，获赠锦旗2面。创新便民利企举措。认真落实“首席事务代表”“收件即受理”“限时办结”等制度。深入推进“政银合作”，有序增扩不动产抵押登记业务办理便民网点，加强便民网点管理，积极推广不见面审批，银行网点办件达500件。推行预约服务、上门服务、延时服务、跟踪服务，为企业群众提供更加便捷多样的服务。全年累计开展上门服务、预约服务、延时服务等便民服务547人次。严格落实优化营商环境“好差评”制度，第一季度政务服务考核排名第二。</w:t>
      </w:r>
    </w:p>
    <w:p>
      <w:pPr>
        <w:spacing w:line="576" w:lineRule="exact"/>
        <w:ind w:firstLine="600" w:firstLineChars="200"/>
        <w:rPr>
          <w:rFonts w:ascii="宋体" w:hAnsi="宋体" w:cs="宋体"/>
          <w:kern w:val="0"/>
          <w:szCs w:val="30"/>
        </w:rPr>
      </w:pPr>
      <w:r>
        <w:rPr>
          <w:rFonts w:hint="eastAsia" w:ascii="宋体" w:hAnsi="宋体" w:cs="宋体"/>
          <w:kern w:val="0"/>
          <w:szCs w:val="30"/>
        </w:rPr>
        <w:t>规范商品房确权登记。广泛宣传不动产物权保护知识，增强购房户物权保护意识。依据《民法典》《不动产登记暂行条例》有关规定及时对购房户所购商品房进行登记。对竣工的房地产开发项目及时引导开发企业完善登记要件手续，确保在最短时间内让购房户领到不动产权证书。对要件资料齐全的房地产项目实行“一站式”办理不动产登记，积极探索“交房领证”模式，切实保护购房户合法权益。累计为3个房地产楼盘办理分户登记1589件。全力攻坚“一证”集中治理。依据自然资源部及省、市、县有关文件精神，积极配合县推进办，持续推进“一证”集中治理，集中力量推进治理工作。积极协调处理不动产登记历史遗留问题，处理“12345”市民热线来电来信12件，满意率100%，切实维护了社会和谐稳定，有效防范化解自然资源领域安全风险。推进国有资产登记。</w:t>
      </w:r>
    </w:p>
    <w:p>
      <w:pPr>
        <w:spacing w:line="576" w:lineRule="exact"/>
        <w:ind w:firstLine="600" w:firstLineChars="200"/>
        <w:rPr>
          <w:rFonts w:ascii="宋体" w:hAnsi="宋体" w:cs="宋体"/>
          <w:kern w:val="0"/>
          <w:szCs w:val="30"/>
        </w:rPr>
      </w:pPr>
      <w:r>
        <w:rPr>
          <w:rFonts w:hint="eastAsia" w:ascii="宋体" w:hAnsi="宋体" w:cs="宋体"/>
          <w:kern w:val="0"/>
          <w:szCs w:val="30"/>
        </w:rPr>
        <w:t>进一步完善农村不动产登记数据库，已将全县16.4万户农村宅基地及农房的权籍调查数据全部入库，完成全县6897户易地搬迁户不动产登记，并将证书全部发放到位，让易地搬迁农户吃了定心丸。进一步做好农房一体登记工作业务指导，对农房确权登记实际工作中存在的疑难问题进行分析探讨，千方百计解决群众的实际困难，配合推进集体经营性建设用地流转，促进农村资源盘活，已向省厅汇交第一批全县农房登记数据12.3万条。探索农村不动产产权制度改革，盘活农民固定资产，助推农村集体产权制度改革，完成全县集体土地所有权登记，并成功汇交数据，为乡村振兴奠定了坚实基础。办理林权登记289件，其中首次登记36件，为发挥林地经济价值，增加农民收入提供了法定依据。</w:t>
      </w:r>
    </w:p>
    <w:p>
      <w:pPr>
        <w:pStyle w:val="4"/>
        <w:spacing w:line="240" w:lineRule="auto"/>
        <w:ind w:firstLine="643" w:firstLineChars="200"/>
      </w:pPr>
      <w:bookmarkStart w:id="11" w:name="_Toc176870190"/>
      <w:r>
        <w:rPr>
          <w:rFonts w:hint="eastAsia"/>
        </w:rPr>
        <w:t>二、机构设置</w:t>
      </w:r>
      <w:bookmarkEnd w:id="8"/>
      <w:bookmarkEnd w:id="9"/>
      <w:bookmarkEnd w:id="10"/>
      <w:bookmarkEnd w:id="11"/>
    </w:p>
    <w:p>
      <w:pPr>
        <w:ind w:firstLine="639" w:firstLineChars="213"/>
      </w:pPr>
      <w:r>
        <w:rPr>
          <w:rFonts w:hint="eastAsia" w:ascii="宋体" w:hAnsi="宋体" w:cs="仿宋"/>
          <w:szCs w:val="30"/>
        </w:rPr>
        <w:t>不动产登记中心全部收入和支出都纳入预算管理，中</w:t>
      </w:r>
      <w:r>
        <w:rPr>
          <w:rFonts w:hint="eastAsia" w:ascii="宋体" w:hAnsi="宋体"/>
          <w:szCs w:val="30"/>
        </w:rPr>
        <w:t>心内设4个职能股室：综合股、勘测股、预审股、登记股。2023年财政预算供给人员20人。临聘8人。　</w:t>
      </w:r>
    </w:p>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1"/>
          <w:rFonts w:ascii="黑体" w:hAnsi="黑体" w:eastAsia="黑体"/>
          <w:b w:val="0"/>
          <w:bCs w:val="0"/>
        </w:rPr>
      </w:pPr>
      <w:bookmarkStart w:id="12" w:name="_Toc176870191"/>
      <w:r>
        <w:rPr>
          <w:rFonts w:hint="eastAsia" w:ascii="黑体" w:hAnsi="黑体" w:eastAsia="黑体"/>
          <w:b w:val="0"/>
        </w:rPr>
        <w:t>第二部分 2023年度</w:t>
      </w:r>
      <w:r>
        <w:rPr>
          <w:rStyle w:val="21"/>
          <w:rFonts w:hint="eastAsia" w:ascii="黑体" w:hAnsi="黑体" w:eastAsia="黑体"/>
          <w:b w:val="0"/>
          <w:bCs w:val="0"/>
        </w:rPr>
        <w:t>单位决算情况说明</w:t>
      </w:r>
      <w:bookmarkEnd w:id="12"/>
    </w:p>
    <w:p/>
    <w:p>
      <w:pPr>
        <w:pStyle w:val="28"/>
        <w:spacing w:line="600" w:lineRule="exact"/>
        <w:ind w:left="640" w:firstLine="0" w:firstLineChars="0"/>
        <w:outlineLvl w:val="1"/>
        <w:rPr>
          <w:rStyle w:val="22"/>
          <w:rFonts w:ascii="黑体" w:hAnsi="黑体" w:eastAsia="黑体"/>
          <w:b w:val="0"/>
        </w:rPr>
      </w:pPr>
      <w:bookmarkStart w:id="13" w:name="_Toc176870192"/>
      <w:r>
        <w:rPr>
          <w:rFonts w:hint="eastAsia" w:ascii="黑体" w:hAnsi="黑体" w:eastAsia="黑体"/>
          <w:sz w:val="32"/>
          <w:szCs w:val="32"/>
        </w:rPr>
        <w:t>一、收</w:t>
      </w:r>
      <w:r>
        <w:rPr>
          <w:rStyle w:val="22"/>
          <w:rFonts w:hint="eastAsia" w:ascii="黑体" w:hAnsi="黑体" w:eastAsia="黑体"/>
          <w:b w:val="0"/>
        </w:rPr>
        <w:t>入支出决算总体情况说明</w:t>
      </w:r>
      <w:bookmarkEnd w:id="13"/>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2023年度收、支总计均为627.39万元。与2022年度相比，收、支总计各增加4.38万元，增长0.7</w:t>
      </w:r>
      <w:r>
        <w:rPr>
          <w:rFonts w:ascii="仿宋" w:hAnsi="仿宋" w:eastAsia="仿宋"/>
          <w:sz w:val="32"/>
          <w:szCs w:val="32"/>
        </w:rPr>
        <w:t>%</w:t>
      </w:r>
      <w:r>
        <w:rPr>
          <w:rFonts w:hint="eastAsia" w:ascii="仿宋" w:hAnsi="仿宋" w:eastAsia="仿宋"/>
          <w:sz w:val="32"/>
          <w:szCs w:val="32"/>
        </w:rPr>
        <w:t>。主要变动原因是项目支出中南江县农房登记权籍调查及测绘支出增加。</w:t>
      </w:r>
    </w:p>
    <w:p>
      <w:pPr>
        <w:pStyle w:val="2"/>
      </w:pPr>
      <w:r>
        <w:rPr>
          <w:rFonts w:ascii="仿宋_GB2312" w:eastAsia="仿宋_GB2312"/>
          <w:sz w:val="32"/>
          <w:szCs w:val="32"/>
        </w:rPr>
        <w:drawing>
          <wp:anchor distT="0" distB="0" distL="114300" distR="114300" simplePos="0" relativeHeight="251658240" behindDoc="0" locked="0" layoutInCell="1" allowOverlap="1">
            <wp:simplePos x="0" y="0"/>
            <wp:positionH relativeFrom="column">
              <wp:posOffset>294005</wp:posOffset>
            </wp:positionH>
            <wp:positionV relativeFrom="paragraph">
              <wp:posOffset>175260</wp:posOffset>
            </wp:positionV>
            <wp:extent cx="4143375" cy="3171825"/>
            <wp:effectExtent l="0" t="0" r="9525"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8"/>
        <w:spacing w:line="600" w:lineRule="exact"/>
        <w:ind w:left="640" w:firstLine="0" w:firstLineChars="0"/>
        <w:outlineLvl w:val="1"/>
        <w:rPr>
          <w:rStyle w:val="22"/>
          <w:rFonts w:ascii="黑体" w:hAnsi="黑体" w:eastAsia="黑体"/>
          <w:b w:val="0"/>
        </w:rPr>
      </w:pPr>
      <w:bookmarkStart w:id="14" w:name="_Toc176870193"/>
      <w:r>
        <w:rPr>
          <w:rFonts w:hint="eastAsia" w:ascii="黑体" w:hAnsi="黑体" w:eastAsia="黑体"/>
          <w:sz w:val="32"/>
          <w:szCs w:val="32"/>
        </w:rPr>
        <w:t>二、收</w:t>
      </w:r>
      <w:r>
        <w:rPr>
          <w:rStyle w:val="22"/>
          <w:rFonts w:hint="eastAsia" w:ascii="黑体" w:hAnsi="黑体" w:eastAsia="黑体"/>
          <w:b w:val="0"/>
        </w:rPr>
        <w:t>入决算情况说明</w:t>
      </w:r>
      <w:bookmarkEnd w:id="14"/>
    </w:p>
    <w:p>
      <w:pPr>
        <w:spacing w:line="600" w:lineRule="exact"/>
        <w:ind w:firstLine="640" w:firstLineChars="200"/>
        <w:outlineLvl w:val="1"/>
        <w:rPr>
          <w:rFonts w:ascii="仿宋" w:hAnsi="仿宋" w:eastAsia="仿宋"/>
          <w:sz w:val="32"/>
          <w:szCs w:val="32"/>
        </w:rPr>
      </w:pPr>
      <w:bookmarkStart w:id="15" w:name="_Toc176870194"/>
      <w:r>
        <w:rPr>
          <w:rFonts w:hint="eastAsia" w:ascii="仿宋" w:hAnsi="仿宋" w:eastAsia="仿宋"/>
          <w:sz w:val="32"/>
          <w:szCs w:val="32"/>
        </w:rPr>
        <w:t>2023年度本年收入合计627.39万元，其中：</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一般公共预算财政拨款收入366.13万元，占58.36</w:t>
      </w:r>
      <w:r>
        <w:rPr>
          <w:rFonts w:ascii="仿宋" w:hAnsi="仿宋" w:eastAsia="仿宋"/>
          <w:sz w:val="32"/>
          <w:szCs w:val="32"/>
        </w:rPr>
        <w:t>%</w:t>
      </w:r>
      <w:r>
        <w:rPr>
          <w:rFonts w:hint="eastAsia" w:ascii="仿宋" w:hAnsi="仿宋" w:eastAsia="仿宋"/>
          <w:sz w:val="32"/>
          <w:szCs w:val="32"/>
        </w:rPr>
        <w:t>；政府性基金预算财政拨款收入261.26万元，占41.64</w:t>
      </w:r>
      <w:r>
        <w:rPr>
          <w:rFonts w:ascii="仿宋" w:hAnsi="仿宋" w:eastAsia="仿宋"/>
          <w:sz w:val="32"/>
          <w:szCs w:val="32"/>
        </w:rPr>
        <w:t>%</w:t>
      </w:r>
      <w:r>
        <w:rPr>
          <w:rFonts w:hint="eastAsia" w:ascii="仿宋" w:hAnsi="仿宋" w:eastAsia="仿宋"/>
          <w:sz w:val="32"/>
          <w:szCs w:val="32"/>
        </w:rPr>
        <w:t>。</w:t>
      </w:r>
      <w:bookmarkEnd w:id="15"/>
    </w:p>
    <w:p>
      <w:pPr>
        <w:spacing w:line="600" w:lineRule="exact"/>
        <w:ind w:firstLine="640" w:firstLineChars="200"/>
        <w:outlineLvl w:val="1"/>
        <w:rPr>
          <w:rFonts w:ascii="仿宋" w:hAnsi="仿宋" w:eastAsia="仿宋"/>
          <w:sz w:val="32"/>
          <w:szCs w:val="32"/>
        </w:rPr>
      </w:pPr>
    </w:p>
    <w:p>
      <w:pPr>
        <w:pStyle w:val="2"/>
      </w:pPr>
      <w:r>
        <w:rPr>
          <w:rFonts w:hint="eastAsia"/>
        </w:rPr>
        <w:drawing>
          <wp:inline distT="0" distB="0" distL="0" distR="0">
            <wp:extent cx="4075430" cy="2690495"/>
            <wp:effectExtent l="0" t="0" r="2032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spacing w:line="600" w:lineRule="exact"/>
        <w:ind w:left="640" w:firstLine="0" w:firstLineChars="0"/>
        <w:outlineLvl w:val="1"/>
        <w:rPr>
          <w:rStyle w:val="22"/>
          <w:rFonts w:ascii="黑体" w:hAnsi="黑体" w:eastAsia="黑体"/>
          <w:b w:val="0"/>
        </w:rPr>
      </w:pPr>
      <w:bookmarkStart w:id="16" w:name="_Toc176870196"/>
      <w:r>
        <w:rPr>
          <w:rFonts w:hint="eastAsia" w:ascii="黑体" w:hAnsi="黑体" w:eastAsia="黑体"/>
          <w:sz w:val="32"/>
          <w:szCs w:val="32"/>
        </w:rPr>
        <w:t>三、支</w:t>
      </w:r>
      <w:r>
        <w:rPr>
          <w:rStyle w:val="22"/>
          <w:rFonts w:hint="eastAsia" w:ascii="黑体" w:hAnsi="黑体" w:eastAsia="黑体"/>
          <w:b w:val="0"/>
        </w:rPr>
        <w:t>出决算情况说明</w:t>
      </w:r>
      <w:bookmarkEnd w:id="16"/>
    </w:p>
    <w:p>
      <w:pPr>
        <w:spacing w:line="600" w:lineRule="exact"/>
        <w:ind w:firstLine="640" w:firstLineChars="200"/>
        <w:outlineLvl w:val="1"/>
        <w:rPr>
          <w:rFonts w:ascii="仿宋" w:hAnsi="仿宋" w:eastAsia="仿宋"/>
          <w:sz w:val="32"/>
          <w:szCs w:val="32"/>
        </w:rPr>
      </w:pPr>
      <w:bookmarkStart w:id="17" w:name="_Toc176870197"/>
      <w:r>
        <w:rPr>
          <w:rFonts w:hint="eastAsia" w:ascii="仿宋" w:hAnsi="仿宋" w:eastAsia="仿宋"/>
          <w:sz w:val="32"/>
          <w:szCs w:val="32"/>
        </w:rPr>
        <w:t>2023年度本年支出合计</w:t>
      </w:r>
      <w:r>
        <w:rPr>
          <w:rFonts w:ascii="仿宋" w:hAnsi="仿宋" w:eastAsia="仿宋"/>
          <w:sz w:val="32"/>
          <w:szCs w:val="32"/>
        </w:rPr>
        <w:t>627.39</w:t>
      </w:r>
      <w:r>
        <w:rPr>
          <w:rFonts w:hint="eastAsia" w:ascii="仿宋" w:hAnsi="仿宋" w:eastAsia="仿宋"/>
          <w:sz w:val="32"/>
          <w:szCs w:val="32"/>
        </w:rPr>
        <w:t>万元，其中：基本支出312.51万元，占49.81</w:t>
      </w:r>
      <w:r>
        <w:rPr>
          <w:rFonts w:ascii="仿宋" w:hAnsi="仿宋" w:eastAsia="仿宋"/>
          <w:sz w:val="32"/>
          <w:szCs w:val="32"/>
        </w:rPr>
        <w:t>%</w:t>
      </w:r>
      <w:r>
        <w:rPr>
          <w:rFonts w:hint="eastAsia" w:ascii="仿宋" w:hAnsi="仿宋" w:eastAsia="仿宋"/>
          <w:sz w:val="32"/>
          <w:szCs w:val="32"/>
        </w:rPr>
        <w:t>；项目支出314.88万元，占50.19</w:t>
      </w:r>
      <w:r>
        <w:rPr>
          <w:rFonts w:ascii="仿宋" w:hAnsi="仿宋" w:eastAsia="仿宋"/>
          <w:sz w:val="32"/>
          <w:szCs w:val="32"/>
        </w:rPr>
        <w:t>%</w:t>
      </w:r>
      <w:r>
        <w:rPr>
          <w:rFonts w:hint="eastAsia" w:ascii="仿宋" w:hAnsi="仿宋" w:eastAsia="仿宋"/>
          <w:sz w:val="32"/>
          <w:szCs w:val="32"/>
        </w:rPr>
        <w:t>。</w:t>
      </w:r>
      <w:bookmarkEnd w:id="17"/>
    </w:p>
    <w:p>
      <w:pPr>
        <w:pStyle w:val="2"/>
      </w:pPr>
    </w:p>
    <w:p>
      <w:pPr>
        <w:pStyle w:val="2"/>
      </w:pPr>
      <w:r>
        <w:rPr>
          <w:rFonts w:hint="eastAsia"/>
        </w:rPr>
        <w:drawing>
          <wp:inline distT="0" distB="0" distL="0" distR="0">
            <wp:extent cx="4075430" cy="3069590"/>
            <wp:effectExtent l="0" t="0" r="20320"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Fonts w:ascii="仿宋" w:hAnsi="仿宋" w:eastAsia="仿宋"/>
          <w:sz w:val="32"/>
          <w:szCs w:val="32"/>
        </w:rPr>
      </w:pPr>
      <w:bookmarkStart w:id="18" w:name="_Toc176870198"/>
    </w:p>
    <w:p>
      <w:pPr>
        <w:pStyle w:val="2"/>
      </w:pPr>
    </w:p>
    <w:p>
      <w:pPr>
        <w:pStyle w:val="2"/>
      </w:pPr>
    </w:p>
    <w:p>
      <w:pPr>
        <w:pStyle w:val="2"/>
      </w:pPr>
    </w:p>
    <w:p>
      <w:pPr>
        <w:pStyle w:val="2"/>
      </w:pPr>
    </w:p>
    <w:p>
      <w:pPr>
        <w:spacing w:line="600" w:lineRule="exact"/>
        <w:ind w:firstLine="640" w:firstLineChars="200"/>
        <w:outlineLvl w:val="1"/>
        <w:rPr>
          <w:rStyle w:val="22"/>
          <w:rFonts w:ascii="黑体" w:hAnsi="黑体" w:eastAsia="黑体"/>
          <w:b w:val="0"/>
        </w:rPr>
      </w:pPr>
      <w:r>
        <w:rPr>
          <w:rFonts w:hint="eastAsia" w:ascii="黑体" w:hAnsi="黑体" w:eastAsia="黑体"/>
          <w:sz w:val="32"/>
          <w:szCs w:val="32"/>
        </w:rPr>
        <w:t>四、财</w:t>
      </w:r>
      <w:r>
        <w:rPr>
          <w:rStyle w:val="22"/>
          <w:rFonts w:hint="eastAsia" w:ascii="黑体" w:hAnsi="黑体" w:eastAsia="黑体"/>
          <w:b w:val="0"/>
        </w:rPr>
        <w:t>政拨款收入支出决算总体情况说明</w:t>
      </w:r>
      <w:bookmarkEnd w:id="18"/>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sz w:val="32"/>
          <w:szCs w:val="32"/>
        </w:rPr>
        <w:t>627.39</w:t>
      </w:r>
      <w:r>
        <w:rPr>
          <w:rFonts w:hint="eastAsia" w:ascii="仿宋" w:hAnsi="仿宋" w:eastAsia="仿宋"/>
          <w:sz w:val="32"/>
          <w:szCs w:val="32"/>
        </w:rPr>
        <w:t>万元。与2022年度相比，财政拨款收、支总计各增加4.38万元，增长0.7</w:t>
      </w:r>
      <w:r>
        <w:rPr>
          <w:rFonts w:ascii="仿宋" w:hAnsi="仿宋" w:eastAsia="仿宋"/>
          <w:sz w:val="32"/>
          <w:szCs w:val="32"/>
        </w:rPr>
        <w:t>%</w:t>
      </w:r>
      <w:r>
        <w:rPr>
          <w:rFonts w:hint="eastAsia" w:ascii="仿宋" w:hAnsi="仿宋" w:eastAsia="仿宋"/>
          <w:sz w:val="32"/>
          <w:szCs w:val="32"/>
        </w:rPr>
        <w:t>。主要变动原因是项目支出中南江县农房登记权籍调查及测绘支出增加。</w:t>
      </w:r>
    </w:p>
    <w:p>
      <w:pPr>
        <w:pStyle w:val="2"/>
      </w:pPr>
    </w:p>
    <w:p>
      <w:pPr>
        <w:pStyle w:val="2"/>
      </w:pPr>
      <w:r>
        <w:rPr>
          <w:rFonts w:hint="eastAsia" w:ascii="仿宋" w:hAnsi="仿宋" w:eastAsia="仿宋"/>
          <w:sz w:val="32"/>
          <w:szCs w:val="32"/>
        </w:rPr>
        <w:drawing>
          <wp:inline distT="0" distB="0" distL="0" distR="0">
            <wp:extent cx="5080000" cy="3482975"/>
            <wp:effectExtent l="0" t="0" r="25400" b="222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spacing w:line="600" w:lineRule="exact"/>
        <w:ind w:firstLine="640" w:firstLineChars="200"/>
        <w:outlineLvl w:val="1"/>
        <w:rPr>
          <w:rStyle w:val="22"/>
          <w:rFonts w:ascii="黑体" w:hAnsi="黑体" w:eastAsia="黑体"/>
          <w:b w:val="0"/>
        </w:rPr>
      </w:pPr>
      <w:bookmarkStart w:id="19" w:name="_Toc176870199"/>
      <w:r>
        <w:rPr>
          <w:rFonts w:hint="eastAsia" w:ascii="黑体" w:hAnsi="黑体" w:eastAsia="黑体"/>
          <w:sz w:val="32"/>
          <w:szCs w:val="32"/>
        </w:rPr>
        <w:t>五、</w:t>
      </w:r>
      <w:r>
        <w:rPr>
          <w:rFonts w:hint="eastAsia" w:ascii="黑体" w:hAnsi="黑体" w:eastAsia="黑体"/>
          <w:b/>
          <w:sz w:val="32"/>
          <w:szCs w:val="32"/>
        </w:rPr>
        <w:t>一</w:t>
      </w:r>
      <w:r>
        <w:rPr>
          <w:rStyle w:val="22"/>
          <w:rFonts w:hint="eastAsia" w:ascii="黑体" w:hAnsi="黑体" w:eastAsia="黑体"/>
          <w:b w:val="0"/>
        </w:rPr>
        <w:t>般公共预算财政拨款支出决算情况说明</w:t>
      </w:r>
      <w:bookmarkEnd w:id="19"/>
    </w:p>
    <w:p>
      <w:pPr>
        <w:spacing w:line="600" w:lineRule="exact"/>
        <w:ind w:firstLine="643" w:firstLineChars="200"/>
        <w:outlineLvl w:val="2"/>
        <w:rPr>
          <w:rFonts w:ascii="仿宋" w:hAnsi="仿宋" w:eastAsia="仿宋"/>
          <w:b/>
          <w:sz w:val="32"/>
          <w:szCs w:val="32"/>
        </w:rPr>
      </w:pPr>
      <w:bookmarkStart w:id="20" w:name="_Toc176870200"/>
      <w:r>
        <w:rPr>
          <w:rFonts w:hint="eastAsia" w:ascii="仿宋" w:hAnsi="仿宋" w:eastAsia="仿宋"/>
          <w:b/>
          <w:sz w:val="32"/>
          <w:szCs w:val="32"/>
        </w:rPr>
        <w:t>（一）一般公共预算财政拨款支出决算总体情况</w:t>
      </w:r>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2023年度一般公共预算财政拨款支出366.13万元，占本年支出合计的</w:t>
      </w:r>
      <w:r>
        <w:rPr>
          <w:rFonts w:ascii="仿宋" w:hAnsi="仿宋" w:eastAsia="仿宋"/>
          <w:sz w:val="32"/>
          <w:szCs w:val="32"/>
        </w:rPr>
        <w:t>58.36%</w:t>
      </w:r>
      <w:r>
        <w:rPr>
          <w:rFonts w:hint="eastAsia" w:ascii="仿宋" w:hAnsi="仿宋" w:eastAsia="仿宋"/>
          <w:sz w:val="32"/>
          <w:szCs w:val="32"/>
        </w:rPr>
        <w:t>。与2022年度相比，一般公共预算财政拨款支出增加42.91万元，增长13.28</w:t>
      </w:r>
      <w:r>
        <w:rPr>
          <w:rFonts w:ascii="仿宋" w:hAnsi="仿宋" w:eastAsia="仿宋"/>
          <w:sz w:val="32"/>
          <w:szCs w:val="32"/>
        </w:rPr>
        <w:t>%</w:t>
      </w:r>
      <w:r>
        <w:rPr>
          <w:rFonts w:hint="eastAsia" w:ascii="仿宋" w:hAnsi="仿宋" w:eastAsia="仿宋"/>
          <w:sz w:val="32"/>
          <w:szCs w:val="32"/>
        </w:rPr>
        <w:t>。主要变动原因为社会保障及就业支出和农林水支出增加。</w:t>
      </w:r>
    </w:p>
    <w:p>
      <w:pPr>
        <w:pStyle w:val="2"/>
      </w:pPr>
      <w:r>
        <w:drawing>
          <wp:inline distT="0" distB="0" distL="0" distR="0">
            <wp:extent cx="4976495" cy="3474720"/>
            <wp:effectExtent l="0" t="0" r="14605"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pPr>
    </w:p>
    <w:p>
      <w:pPr>
        <w:spacing w:line="600" w:lineRule="exact"/>
        <w:ind w:firstLine="643" w:firstLineChars="200"/>
        <w:outlineLvl w:val="2"/>
        <w:rPr>
          <w:rFonts w:ascii="仿宋" w:hAnsi="仿宋" w:eastAsia="仿宋"/>
          <w:b/>
          <w:sz w:val="32"/>
          <w:szCs w:val="32"/>
        </w:rPr>
      </w:pPr>
      <w:bookmarkStart w:id="21" w:name="_Toc176870201"/>
      <w:r>
        <w:rPr>
          <w:rFonts w:hint="eastAsia" w:ascii="仿宋" w:hAnsi="仿宋" w:eastAsia="仿宋"/>
          <w:b/>
          <w:sz w:val="32"/>
          <w:szCs w:val="32"/>
        </w:rPr>
        <w:t>（二）一般公共预算财政拨款支出决算结构情况</w:t>
      </w:r>
      <w:bookmarkEnd w:id="21"/>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sz w:val="32"/>
          <w:szCs w:val="32"/>
        </w:rPr>
        <w:t>366.13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35.17万元，占9.61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10.03万元，占2.74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25万元，占6.83</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城乡社区支出</w:t>
      </w:r>
      <w:r>
        <w:rPr>
          <w:rFonts w:hint="eastAsia" w:ascii="仿宋" w:hAnsi="仿宋" w:eastAsia="仿宋"/>
          <w:sz w:val="32"/>
          <w:szCs w:val="32"/>
        </w:rPr>
        <w:t>52.12万元，占14.24</w:t>
      </w:r>
      <w:r>
        <w:rPr>
          <w:rFonts w:ascii="仿宋" w:hAnsi="仿宋" w:eastAsia="仿宋"/>
          <w:sz w:val="32"/>
          <w:szCs w:val="32"/>
        </w:rPr>
        <w:t>%</w:t>
      </w:r>
      <w:r>
        <w:rPr>
          <w:rFonts w:hint="eastAsia" w:ascii="仿宋" w:hAnsi="仿宋" w:eastAsia="仿宋"/>
          <w:sz w:val="32"/>
          <w:szCs w:val="32"/>
        </w:rPr>
        <w:t>；农林水支出1.5万元，占0.41</w:t>
      </w:r>
      <w:r>
        <w:rPr>
          <w:rFonts w:ascii="仿宋" w:hAnsi="仿宋" w:eastAsia="仿宋"/>
          <w:sz w:val="32"/>
          <w:szCs w:val="32"/>
        </w:rPr>
        <w:t>%；</w:t>
      </w:r>
      <w:r>
        <w:rPr>
          <w:rFonts w:hint="eastAsia" w:ascii="仿宋" w:hAnsi="仿宋" w:eastAsia="仿宋"/>
          <w:sz w:val="32"/>
          <w:szCs w:val="32"/>
        </w:rPr>
        <w:t>自然资源海洋气象支出242.31万元，占66.17</w:t>
      </w:r>
      <w:r>
        <w:rPr>
          <w:rFonts w:ascii="仿宋" w:hAnsi="仿宋" w:eastAsia="仿宋"/>
          <w:sz w:val="32"/>
          <w:szCs w:val="32"/>
        </w:rPr>
        <w:t>%。</w:t>
      </w:r>
    </w:p>
    <w:p>
      <w:pPr>
        <w:pStyle w:val="2"/>
      </w:pPr>
    </w:p>
    <w:p>
      <w:pPr>
        <w:pStyle w:val="2"/>
      </w:pPr>
      <w:r>
        <w:rPr>
          <w:rFonts w:hint="eastAsia"/>
        </w:rPr>
        <w:drawing>
          <wp:inline distT="0" distB="0" distL="0" distR="0">
            <wp:extent cx="4846320" cy="3017520"/>
            <wp:effectExtent l="0" t="0" r="11430" b="1143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spacing w:line="600" w:lineRule="exact"/>
        <w:ind w:firstLine="643" w:firstLineChars="200"/>
        <w:outlineLvl w:val="2"/>
        <w:rPr>
          <w:rFonts w:ascii="仿宋" w:hAnsi="仿宋" w:eastAsia="仿宋"/>
          <w:b/>
          <w:sz w:val="32"/>
          <w:szCs w:val="32"/>
        </w:rPr>
      </w:pPr>
      <w:bookmarkStart w:id="22" w:name="_Toc176870202"/>
      <w:r>
        <w:rPr>
          <w:rFonts w:hint="eastAsia" w:ascii="仿宋" w:hAnsi="仿宋" w:eastAsia="仿宋"/>
          <w:b/>
          <w:sz w:val="32"/>
          <w:szCs w:val="32"/>
        </w:rPr>
        <w:t>（三）一般公共预算财政拨款支出决算具体情况</w:t>
      </w:r>
      <w:bookmarkEnd w:id="22"/>
    </w:p>
    <w:p>
      <w:pPr>
        <w:spacing w:line="600" w:lineRule="exact"/>
        <w:ind w:firstLine="643" w:firstLineChars="200"/>
        <w:outlineLvl w:val="2"/>
        <w:rPr>
          <w:rFonts w:ascii="仿宋" w:hAnsi="仿宋" w:eastAsia="仿宋"/>
          <w:sz w:val="32"/>
          <w:szCs w:val="32"/>
        </w:rPr>
      </w:pPr>
      <w:bookmarkStart w:id="23" w:name="_Toc176870203"/>
      <w:r>
        <w:rPr>
          <w:rFonts w:hint="eastAsia" w:ascii="仿宋" w:hAnsi="仿宋" w:eastAsia="仿宋"/>
          <w:b/>
          <w:sz w:val="32"/>
          <w:szCs w:val="32"/>
        </w:rPr>
        <w:t>2023年度一般公共预算支出决算数为</w:t>
      </w:r>
      <w:r>
        <w:rPr>
          <w:rFonts w:ascii="仿宋" w:hAnsi="仿宋" w:eastAsia="仿宋"/>
          <w:sz w:val="32"/>
          <w:szCs w:val="32"/>
        </w:rPr>
        <w:t>366.13</w:t>
      </w:r>
      <w:r>
        <w:rPr>
          <w:rFonts w:hint="eastAsia" w:ascii="仿宋" w:hAnsi="仿宋" w:eastAsia="仿宋"/>
          <w:sz w:val="32"/>
          <w:szCs w:val="32"/>
        </w:rPr>
        <w:t>万元，</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23"/>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1.</w:t>
      </w:r>
      <w:r>
        <w:rPr>
          <w:rFonts w:hint="eastAsia"/>
        </w:rPr>
        <w:t xml:space="preserve"> </w:t>
      </w:r>
      <w:r>
        <w:rPr>
          <w:rStyle w:val="19"/>
          <w:rFonts w:hint="eastAsia" w:ascii="仿宋" w:hAnsi="仿宋" w:eastAsia="仿宋"/>
          <w:bCs/>
          <w:sz w:val="32"/>
          <w:szCs w:val="32"/>
        </w:rPr>
        <w:t>城乡社区支出（类）212（款）01（项）99</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支出决算为52.12万元，完成预算100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2.</w:t>
      </w:r>
      <w:r>
        <w:rPr>
          <w:rFonts w:hint="eastAsia"/>
        </w:rPr>
        <w:t xml:space="preserve"> </w:t>
      </w:r>
      <w:r>
        <w:rPr>
          <w:rStyle w:val="19"/>
          <w:rFonts w:hint="eastAsia" w:ascii="仿宋" w:hAnsi="仿宋" w:eastAsia="仿宋"/>
          <w:bCs/>
          <w:sz w:val="32"/>
          <w:szCs w:val="32"/>
        </w:rPr>
        <w:t>农林水支出（类）213（款）05（项）99</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3.</w:t>
      </w:r>
      <w:r>
        <w:rPr>
          <w:rFonts w:hint="eastAsia"/>
        </w:rPr>
        <w:t xml:space="preserve"> </w:t>
      </w:r>
      <w:r>
        <w:rPr>
          <w:rStyle w:val="19"/>
          <w:rFonts w:hint="eastAsia" w:ascii="仿宋" w:hAnsi="仿宋" w:eastAsia="仿宋"/>
          <w:bCs/>
          <w:sz w:val="32"/>
          <w:szCs w:val="32"/>
        </w:rPr>
        <w:t>自然资源海洋气象等支出（类）220（款）01（项）50</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Fonts w:hint="eastAsia" w:ascii="仿宋" w:hAnsi="仿宋" w:eastAsia="仿宋"/>
          <w:sz w:val="32"/>
          <w:szCs w:val="32"/>
        </w:rPr>
        <w:t>242.31</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4.</w:t>
      </w:r>
      <w:r>
        <w:rPr>
          <w:rFonts w:hint="eastAsia"/>
        </w:rPr>
        <w:t xml:space="preserve"> </w:t>
      </w:r>
      <w:r>
        <w:rPr>
          <w:rStyle w:val="19"/>
          <w:rFonts w:hint="eastAsia" w:ascii="仿宋" w:hAnsi="仿宋" w:eastAsia="仿宋"/>
          <w:bCs/>
          <w:sz w:val="32"/>
          <w:szCs w:val="32"/>
        </w:rPr>
        <w:t>住房保障支出（类）221（款）02（项）01</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5.</w:t>
      </w:r>
      <w:r>
        <w:rPr>
          <w:rStyle w:val="19"/>
          <w:rFonts w:hint="eastAsia" w:ascii="仿宋" w:hAnsi="仿宋" w:eastAsia="仿宋"/>
          <w:bCs/>
          <w:sz w:val="32"/>
          <w:szCs w:val="32"/>
        </w:rPr>
        <w:t>社会保障和就业（类）208（款）05（项）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支出决算为35.17万元，完成预算100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6.</w:t>
      </w:r>
      <w:r>
        <w:rPr>
          <w:rFonts w:hint="eastAsia" w:ascii="仿宋" w:hAnsi="仿宋" w:eastAsia="仿宋"/>
          <w:b/>
          <w:bCs/>
          <w:sz w:val="32"/>
          <w:szCs w:val="32"/>
        </w:rPr>
        <w:t>卫生健康</w:t>
      </w:r>
      <w:r>
        <w:rPr>
          <w:rStyle w:val="19"/>
          <w:rFonts w:hint="eastAsia" w:ascii="仿宋" w:hAnsi="仿宋" w:eastAsia="仿宋"/>
          <w:bCs/>
          <w:sz w:val="32"/>
          <w:szCs w:val="32"/>
        </w:rPr>
        <w:t>（类）210（款）11（项）02</w:t>
      </w:r>
      <w:r>
        <w:rPr>
          <w:rStyle w:val="19"/>
          <w:rFonts w:ascii="仿宋" w:hAnsi="仿宋" w:eastAsia="仿宋"/>
          <w:bCs/>
          <w:sz w:val="32"/>
          <w:szCs w:val="32"/>
        </w:rPr>
        <w:t>:</w:t>
      </w:r>
      <w:r>
        <w:rPr>
          <w:rStyle w:val="19"/>
          <w:rFonts w:hint="eastAsia" w:ascii="仿宋" w:hAnsi="仿宋" w:eastAsia="仿宋"/>
          <w:b w:val="0"/>
          <w:bCs/>
          <w:sz w:val="32"/>
          <w:szCs w:val="32"/>
        </w:rPr>
        <w:t>支出决算为10.03万元，完成预算100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tabs>
          <w:tab w:val="right" w:pos="8306"/>
        </w:tabs>
        <w:spacing w:line="600" w:lineRule="exact"/>
        <w:ind w:firstLine="640"/>
        <w:outlineLvl w:val="1"/>
        <w:rPr>
          <w:rStyle w:val="22"/>
        </w:rPr>
      </w:pPr>
      <w:bookmarkStart w:id="24" w:name="_Toc17687020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2"/>
          <w:rFonts w:hint="eastAsia" w:ascii="黑体" w:hAnsi="黑体" w:eastAsia="黑体"/>
          <w:b w:val="0"/>
        </w:rPr>
        <w:t>般公共预算财政拨款基本支出决算情况说明</w:t>
      </w:r>
      <w:bookmarkEnd w:id="24"/>
      <w:r>
        <w:rPr>
          <w:rStyle w:val="22"/>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2023年度一般公共预算财政拨款基本支出312.51万元，其中：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296.07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16.3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2"/>
          <w:rFonts w:ascii="黑体" w:hAnsi="黑体" w:eastAsia="黑体"/>
          <w:b w:val="0"/>
        </w:rPr>
      </w:pPr>
      <w:bookmarkStart w:id="25" w:name="_Toc176870205"/>
      <w:r>
        <w:rPr>
          <w:rFonts w:hint="eastAsia" w:ascii="黑体" w:eastAsia="黑体"/>
          <w:sz w:val="32"/>
          <w:szCs w:val="32"/>
        </w:rPr>
        <w:t>七、</w:t>
      </w:r>
      <w:r>
        <w:rPr>
          <w:rStyle w:val="22"/>
          <w:rFonts w:hint="eastAsia" w:ascii="黑体" w:hAnsi="黑体" w:eastAsia="黑体"/>
          <w:b w:val="0"/>
        </w:rPr>
        <w:t>财政拨款</w:t>
      </w:r>
      <w:r>
        <w:rPr>
          <w:rStyle w:val="22"/>
          <w:rFonts w:hint="eastAsia" w:ascii="黑体" w:hAnsi="黑体" w:eastAsia="黑体"/>
        </w:rPr>
        <w:t>“</w:t>
      </w:r>
      <w:r>
        <w:rPr>
          <w:rStyle w:val="22"/>
          <w:rFonts w:hint="eastAsia" w:ascii="黑体" w:hAnsi="黑体" w:eastAsia="黑体"/>
          <w:b w:val="0"/>
        </w:rPr>
        <w:t>三公”经费支出决算情况说明</w:t>
      </w:r>
      <w:bookmarkEnd w:id="25"/>
    </w:p>
    <w:p>
      <w:pPr>
        <w:spacing w:line="600" w:lineRule="exact"/>
        <w:ind w:firstLine="640"/>
        <w:outlineLvl w:val="2"/>
        <w:rPr>
          <w:rFonts w:ascii="仿宋" w:hAnsi="仿宋" w:eastAsia="仿宋"/>
          <w:b/>
          <w:sz w:val="32"/>
          <w:szCs w:val="32"/>
        </w:rPr>
      </w:pPr>
      <w:bookmarkStart w:id="26" w:name="_Toc176870206"/>
      <w:r>
        <w:rPr>
          <w:rFonts w:hint="eastAsia" w:ascii="仿宋" w:hAnsi="仿宋" w:eastAsia="仿宋"/>
          <w:b/>
          <w:sz w:val="32"/>
          <w:szCs w:val="32"/>
        </w:rPr>
        <w:t>（一）“三公”经费财政拨款支出决算总体情况说明</w:t>
      </w:r>
      <w:bookmarkEnd w:id="26"/>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2023年度“三公”经费财政拨款支出决算为0万元，完成预算0</w:t>
      </w:r>
      <w:r>
        <w:rPr>
          <w:rFonts w:ascii="仿宋" w:hAnsi="仿宋" w:eastAsia="仿宋"/>
          <w:sz w:val="32"/>
          <w:szCs w:val="32"/>
        </w:rPr>
        <w:t>%</w:t>
      </w:r>
      <w:r>
        <w:rPr>
          <w:rFonts w:hint="eastAsia" w:ascii="仿宋" w:hAnsi="仿宋" w:eastAsia="仿宋"/>
          <w:sz w:val="32"/>
          <w:szCs w:val="32"/>
        </w:rPr>
        <w:t>，较上年度减少0.13万元，本年度无“三公”经费发生。</w:t>
      </w:r>
    </w:p>
    <w:p>
      <w:pPr>
        <w:spacing w:line="600" w:lineRule="exact"/>
        <w:ind w:firstLine="640"/>
        <w:outlineLvl w:val="2"/>
        <w:rPr>
          <w:rFonts w:ascii="仿宋" w:hAnsi="仿宋" w:eastAsia="仿宋"/>
          <w:b/>
          <w:sz w:val="32"/>
          <w:szCs w:val="32"/>
        </w:rPr>
      </w:pPr>
      <w:bookmarkStart w:id="27" w:name="_Toc176870207"/>
      <w:r>
        <w:rPr>
          <w:rFonts w:hint="eastAsia" w:ascii="仿宋" w:hAnsi="仿宋" w:eastAsia="仿宋"/>
          <w:b/>
          <w:sz w:val="32"/>
          <w:szCs w:val="32"/>
        </w:rPr>
        <w:t>（二）“三公”经费财政拨款支出决算具体情况说明</w:t>
      </w:r>
      <w:bookmarkEnd w:id="27"/>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全年安排因公出国（境）团组0次，出国（境）0人，比上年增加0万元。</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公务用车购置及运行维护费支出决算比2022年度增加0万元。</w:t>
      </w:r>
    </w:p>
    <w:p>
      <w:pPr>
        <w:spacing w:line="600" w:lineRule="exact"/>
        <w:ind w:firstLine="640"/>
        <w:rPr>
          <w:rFonts w:asciiTheme="minorEastAsia" w:hAnsiTheme="minorEastAsia" w:eastAsiaTheme="minorEastAsia"/>
          <w:color w:val="000000"/>
          <w:szCs w:val="30"/>
        </w:rPr>
      </w:pPr>
      <w:r>
        <w:rPr>
          <w:rFonts w:hint="eastAsia" w:asciiTheme="minorEastAsia" w:hAnsiTheme="minorEastAsia" w:eastAsiaTheme="minorEastAsia"/>
          <w:b/>
          <w:color w:val="000000"/>
          <w:szCs w:val="30"/>
        </w:rPr>
        <w:t>公务用车运行维护费支出</w:t>
      </w:r>
      <w:r>
        <w:rPr>
          <w:rFonts w:hint="eastAsia" w:asciiTheme="minorEastAsia" w:hAnsiTheme="minorEastAsia" w:eastAsiaTheme="minorEastAsia"/>
          <w:color w:val="000000"/>
          <w:szCs w:val="30"/>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公务接待费支出决算比2022年度减少0.13万元。主要原因是单位无公务接待。</w:t>
      </w:r>
    </w:p>
    <w:p>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2"/>
          <w:rFonts w:ascii="黑体" w:hAnsi="黑体" w:eastAsia="黑体"/>
        </w:rPr>
      </w:pPr>
      <w:bookmarkStart w:id="28" w:name="_Toc176870208"/>
      <w:r>
        <w:rPr>
          <w:rFonts w:hint="eastAsia" w:ascii="黑体" w:eastAsia="黑体"/>
          <w:sz w:val="32"/>
          <w:szCs w:val="32"/>
        </w:rPr>
        <w:t>八、</w:t>
      </w:r>
      <w:r>
        <w:rPr>
          <w:rStyle w:val="22"/>
          <w:rFonts w:hint="eastAsia" w:ascii="黑体" w:hAnsi="黑体" w:eastAsia="黑体"/>
          <w:b w:val="0"/>
        </w:rPr>
        <w:t>政府性基金预算支出决算情况说明</w:t>
      </w:r>
      <w:bookmarkEnd w:id="2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2023年度政府性基金预算财政拨款支出261.26万元。</w:t>
      </w:r>
    </w:p>
    <w:p>
      <w:pPr>
        <w:spacing w:line="600" w:lineRule="exact"/>
        <w:ind w:firstLine="640" w:firstLineChars="200"/>
        <w:outlineLvl w:val="1"/>
        <w:rPr>
          <w:rStyle w:val="22"/>
          <w:rFonts w:ascii="黑体" w:hAnsi="黑体" w:eastAsia="黑体"/>
          <w:b w:val="0"/>
        </w:rPr>
      </w:pPr>
      <w:bookmarkStart w:id="29" w:name="_Toc176870209"/>
      <w:r>
        <w:rPr>
          <w:rStyle w:val="22"/>
          <w:rFonts w:hint="eastAsia" w:ascii="黑体" w:hAnsi="黑体" w:eastAsia="黑体"/>
          <w:b w:val="0"/>
        </w:rPr>
        <w:t>九、国有资本经营预算支出决算情况说明</w:t>
      </w:r>
      <w:bookmarkEnd w:id="29"/>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2023年度国有资本经营预算财政拨款支出0万元。</w:t>
      </w:r>
    </w:p>
    <w:p>
      <w:pPr>
        <w:spacing w:line="600" w:lineRule="exact"/>
        <w:ind w:firstLine="640" w:firstLineChars="200"/>
        <w:outlineLvl w:val="1"/>
        <w:rPr>
          <w:rStyle w:val="22"/>
          <w:rFonts w:ascii="黑体" w:hAnsi="黑体" w:eastAsia="黑体"/>
          <w:b w:val="0"/>
        </w:rPr>
      </w:pPr>
      <w:bookmarkStart w:id="30" w:name="_Toc176870210"/>
      <w:r>
        <w:rPr>
          <w:rStyle w:val="22"/>
          <w:rFonts w:hint="eastAsia" w:ascii="黑体" w:hAnsi="黑体" w:eastAsia="黑体"/>
          <w:b w:val="0"/>
        </w:rPr>
        <w:t>十、其他重要事项的情况说明</w:t>
      </w:r>
      <w:bookmarkEnd w:id="30"/>
    </w:p>
    <w:p>
      <w:pPr>
        <w:spacing w:line="600" w:lineRule="exact"/>
        <w:ind w:firstLine="643" w:firstLineChars="200"/>
        <w:outlineLvl w:val="2"/>
        <w:rPr>
          <w:rFonts w:ascii="仿宋" w:hAnsi="仿宋" w:eastAsia="仿宋"/>
          <w:sz w:val="32"/>
          <w:szCs w:val="32"/>
        </w:rPr>
      </w:pPr>
      <w:bookmarkStart w:id="31" w:name="_Toc176870211"/>
      <w:r>
        <w:rPr>
          <w:rFonts w:hint="eastAsia" w:ascii="仿宋" w:hAnsi="仿宋" w:eastAsia="仿宋"/>
          <w:b/>
          <w:sz w:val="32"/>
          <w:szCs w:val="32"/>
        </w:rPr>
        <w:t>（一）机关运行经费支出情况</w:t>
      </w:r>
      <w:bookmarkEnd w:id="3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sz w:val="32"/>
          <w:szCs w:val="32"/>
        </w:rPr>
        <w:t>南江县不动产登记中心</w:t>
      </w:r>
      <w:r>
        <w:rPr>
          <w:rFonts w:hint="eastAsia" w:ascii="仿宋_GB2312" w:eastAsia="仿宋_GB2312"/>
          <w:sz w:val="32"/>
          <w:szCs w:val="32"/>
        </w:rPr>
        <w:t>机关运行经费支出0万元，比2022年度增加0万元。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32" w:name="_Toc176870212"/>
      <w:r>
        <w:rPr>
          <w:rFonts w:hint="eastAsia" w:ascii="仿宋" w:hAnsi="仿宋" w:eastAsia="仿宋"/>
          <w:b/>
          <w:sz w:val="32"/>
          <w:szCs w:val="32"/>
        </w:rPr>
        <w:t>（二）政府采购支出情况</w:t>
      </w:r>
      <w:bookmarkEnd w:id="32"/>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sz w:val="32"/>
          <w:szCs w:val="32"/>
        </w:rPr>
        <w:t>不动产登记中心</w:t>
      </w:r>
      <w:r>
        <w:rPr>
          <w:rFonts w:hint="eastAsia" w:ascii="仿宋_GB2312" w:eastAsia="仿宋_GB2312"/>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33" w:name="_Toc176870213"/>
      <w:r>
        <w:rPr>
          <w:rFonts w:hint="eastAsia" w:ascii="仿宋" w:hAnsi="仿宋" w:eastAsia="仿宋"/>
          <w:b/>
          <w:sz w:val="32"/>
          <w:szCs w:val="32"/>
        </w:rPr>
        <w:t>（三）国有资产占有使用情况</w:t>
      </w:r>
      <w:bookmarkEnd w:id="3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不动产登记中心</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万元以上专用设备（不含车辆）0台（套）。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34" w:name="_Toc176870214"/>
      <w:r>
        <w:rPr>
          <w:rFonts w:hint="eastAsia" w:ascii="仿宋" w:hAnsi="仿宋" w:eastAsia="仿宋"/>
          <w:b/>
          <w:sz w:val="32"/>
          <w:szCs w:val="32"/>
        </w:rPr>
        <w:t>（四）预算绩效管理情况</w:t>
      </w:r>
      <w:bookmarkEnd w:id="34"/>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预算绩效管理要求，本单位在2023年度预算编制阶段，组织对农房测绘及权籍调查、临聘人员购买服务项目开展了预算事前绩效评估（项目名称）等3个项目开展了预算事前绩效评估，对3个项目编制了绩效目标，预算执行过程中，选取3个项目开展绩效监控，组织对3个项目开展绩效自评，绩效自评表详见第四部分附件。</w:t>
      </w:r>
    </w:p>
    <w:p>
      <w:pPr>
        <w:spacing w:line="600" w:lineRule="exact"/>
        <w:ind w:firstLine="640" w:firstLineChars="200"/>
        <w:rPr>
          <w:rStyle w:val="21"/>
          <w:rFonts w:ascii="黑体" w:hAnsi="黑体" w:eastAsia="黑体"/>
          <w:b w:val="0"/>
        </w:rPr>
      </w:pPr>
      <w:r>
        <w:rPr>
          <w:rFonts w:hint="eastAsia" w:ascii="仿宋_GB2312" w:hAnsi="Times New Roman" w:eastAsia="仿宋_GB2312"/>
          <w:sz w:val="32"/>
          <w:szCs w:val="32"/>
        </w:rPr>
        <w:br w:type="page"/>
      </w:r>
      <w:bookmarkStart w:id="35" w:name="_Toc176870215"/>
      <w:r>
        <w:rPr>
          <w:rFonts w:hint="eastAsia" w:ascii="黑体" w:hAnsi="黑体" w:eastAsia="黑体"/>
          <w:sz w:val="44"/>
          <w:szCs w:val="44"/>
        </w:rPr>
        <w:t>第三部分  名</w:t>
      </w:r>
      <w:r>
        <w:rPr>
          <w:rStyle w:val="21"/>
          <w:rFonts w:hint="eastAsia" w:ascii="黑体" w:hAnsi="黑体" w:eastAsia="黑体"/>
          <w:b w:val="0"/>
        </w:rPr>
        <w:t>词解释</w:t>
      </w:r>
      <w:bookmarkEnd w:id="35"/>
    </w:p>
    <w:p>
      <w:pPr>
        <w:spacing w:line="600" w:lineRule="exact"/>
        <w:jc w:val="left"/>
        <w:rPr>
          <w:rFonts w:ascii="宋体"/>
          <w:b/>
          <w:sz w:val="44"/>
          <w:szCs w:val="44"/>
        </w:rPr>
      </w:pP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社会保障和就业（类）208（款）05（项）02：指事业单位离退休支出，（类）208（款）05（项）05：指机关事业单位基本养老保险缴费支出，（类）208（款）27（项）01：指财政对失业保险基金的补助；（类）208（款）27（项）02：指财政对工伤保险基金的补助；（类）208（款）27（项）03：指财政对生育保险基金的补助。</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10.医疗卫生与计划生育（类）210（款）11（项）02：指事业单位医疗。</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11.自然资源海洋气象等（类）220（款）01（项）50：指机关单位事业运行。</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12.住房保障（类）221（款）02（项）01：指单位职工住房公积金支出。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13.基本支出：指为保障机构正常运转、完成日常工作任务而发生的人员支出和公用支出。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14.项目支出：指在基本支出之外为完成特定行政任务和事业发展目标所发生的支出。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1"/>
          <w:rFonts w:ascii="黑体" w:hAnsi="黑体" w:eastAsia="黑体"/>
          <w:b w:val="0"/>
        </w:rPr>
      </w:pPr>
      <w:r>
        <w:rPr>
          <w:rFonts w:ascii="宋体"/>
          <w:b/>
          <w:sz w:val="44"/>
          <w:szCs w:val="44"/>
        </w:rPr>
        <w:br w:type="page"/>
      </w:r>
      <w:bookmarkStart w:id="36" w:name="_Toc176870216"/>
      <w:r>
        <w:rPr>
          <w:rFonts w:hint="eastAsia" w:ascii="黑体" w:hAnsi="黑体" w:eastAsia="黑体"/>
          <w:sz w:val="44"/>
          <w:szCs w:val="44"/>
        </w:rPr>
        <w:t>第</w:t>
      </w:r>
      <w:r>
        <w:rPr>
          <w:rStyle w:val="21"/>
          <w:rFonts w:hint="eastAsia" w:ascii="黑体" w:hAnsi="黑体" w:eastAsia="黑体"/>
          <w:b w:val="0"/>
        </w:rPr>
        <w:t>四部分 附件</w:t>
      </w:r>
      <w:bookmarkEnd w:id="36"/>
    </w:p>
    <w:p>
      <w:pPr>
        <w:pStyle w:val="4"/>
      </w:pPr>
      <w:bookmarkStart w:id="37" w:name="_Toc3465"/>
      <w:bookmarkStart w:id="38" w:name="_Toc176870218"/>
      <w:r>
        <w:rPr>
          <w:rFonts w:hint="eastAsia"/>
        </w:rPr>
        <w:t>附件1</w:t>
      </w:r>
      <w:bookmarkEnd w:id="37"/>
    </w:p>
    <w:p>
      <w:pPr>
        <w:jc w:val="center"/>
        <w:rPr>
          <w:b/>
          <w:bCs/>
          <w:szCs w:val="30"/>
        </w:rPr>
      </w:pPr>
      <w:r>
        <w:rPr>
          <w:rFonts w:hint="eastAsia"/>
          <w:b/>
          <w:bCs/>
          <w:szCs w:val="30"/>
        </w:rPr>
        <w:t>南江县不动产登记中心</w:t>
      </w:r>
    </w:p>
    <w:p>
      <w:pPr>
        <w:jc w:val="center"/>
        <w:rPr>
          <w:b/>
          <w:bCs/>
          <w:szCs w:val="30"/>
        </w:rPr>
      </w:pPr>
      <w:bookmarkStart w:id="39" w:name="OLE_LINK1"/>
      <w:r>
        <w:rPr>
          <w:rFonts w:hint="eastAsia"/>
          <w:b/>
          <w:bCs/>
          <w:szCs w:val="30"/>
        </w:rPr>
        <w:t>2023年整体支出绩效评价报告</w:t>
      </w:r>
    </w:p>
    <w:p>
      <w:pPr>
        <w:ind w:firstLine="639" w:firstLineChars="213"/>
        <w:rPr>
          <w:szCs w:val="30"/>
        </w:rPr>
      </w:pPr>
    </w:p>
    <w:p>
      <w:pPr>
        <w:spacing w:line="560" w:lineRule="exact"/>
        <w:ind w:firstLine="639" w:firstLineChars="213"/>
        <w:rPr>
          <w:rFonts w:ascii="黑体" w:hAnsi="黑体" w:eastAsia="黑体" w:cs="黑体"/>
          <w:szCs w:val="30"/>
        </w:rPr>
      </w:pPr>
      <w:r>
        <w:rPr>
          <w:rFonts w:hint="eastAsia" w:ascii="黑体" w:hAnsi="黑体" w:eastAsia="黑体" w:cs="黑体"/>
          <w:szCs w:val="30"/>
        </w:rPr>
        <w:t>一、单位概况</w:t>
      </w:r>
    </w:p>
    <w:p>
      <w:pPr>
        <w:spacing w:line="560" w:lineRule="exact"/>
        <w:ind w:firstLine="639" w:firstLineChars="213"/>
        <w:rPr>
          <w:szCs w:val="30"/>
        </w:rPr>
      </w:pPr>
      <w:r>
        <w:rPr>
          <w:rFonts w:hint="eastAsia"/>
          <w:szCs w:val="30"/>
        </w:rPr>
        <w:t>（一）机构组成</w:t>
      </w:r>
    </w:p>
    <w:p>
      <w:pPr>
        <w:spacing w:line="560" w:lineRule="exact"/>
        <w:ind w:firstLine="639" w:firstLineChars="213"/>
        <w:rPr>
          <w:szCs w:val="30"/>
        </w:rPr>
      </w:pPr>
      <w:r>
        <w:rPr>
          <w:rFonts w:hint="eastAsia"/>
          <w:szCs w:val="30"/>
        </w:rPr>
        <w:t>南江县不动产登记中心是经南江县人民政府批准设立的公益一类事业单位，属财政一级预算单位，内设4个职能股室：综合股、勘测股、预审股、登记股。</w:t>
      </w:r>
    </w:p>
    <w:p>
      <w:pPr>
        <w:spacing w:line="560" w:lineRule="exact"/>
        <w:ind w:firstLine="639" w:firstLineChars="213"/>
        <w:rPr>
          <w:szCs w:val="30"/>
        </w:rPr>
      </w:pPr>
      <w:r>
        <w:rPr>
          <w:rFonts w:hint="eastAsia"/>
          <w:szCs w:val="30"/>
        </w:rPr>
        <w:t>（二）机构职能</w:t>
      </w:r>
    </w:p>
    <w:p>
      <w:pPr>
        <w:spacing w:line="560" w:lineRule="exact"/>
        <w:ind w:firstLine="639" w:firstLineChars="213"/>
        <w:rPr>
          <w:szCs w:val="30"/>
        </w:rPr>
      </w:pPr>
      <w:r>
        <w:rPr>
          <w:rFonts w:hint="eastAsia"/>
          <w:szCs w:val="30"/>
        </w:rPr>
        <w:t>南江县不动产登记中心为县自然资源和规划局管理的公益一类事业单位，主要工作职责是负责全县不动产统一登记工作。基本职能：1.宣传贯彻实施《物权法》、《不动产登记暂行条例》以及国家、省关于不动产登记的法规、规章和政策；2.承办全县土地、房屋登记、林地登记等等不动产登记工作；3.负责拟定不动产登记业务规范和工作流程；4.负责统计、分析、依法提供不动产登记查询服务；5.负责不动产登记数据资料的整理，保管和备份，以及不动产登记档案的收集、整理、归档工作；6.完成主管部门交办的其他工作。</w:t>
      </w:r>
    </w:p>
    <w:p>
      <w:pPr>
        <w:spacing w:line="560" w:lineRule="exact"/>
        <w:ind w:firstLine="639" w:firstLineChars="213"/>
        <w:rPr>
          <w:szCs w:val="30"/>
        </w:rPr>
      </w:pPr>
      <w:r>
        <w:rPr>
          <w:rFonts w:hint="eastAsia"/>
          <w:szCs w:val="30"/>
        </w:rPr>
        <w:t>（三）人员概况</w:t>
      </w:r>
    </w:p>
    <w:p>
      <w:pPr>
        <w:spacing w:line="560" w:lineRule="exact"/>
        <w:ind w:firstLine="639" w:firstLineChars="213"/>
        <w:rPr>
          <w:szCs w:val="30"/>
        </w:rPr>
      </w:pPr>
      <w:r>
        <w:rPr>
          <w:rFonts w:hint="eastAsia"/>
          <w:szCs w:val="30"/>
        </w:rPr>
        <w:t>核定事业编制20个，其中：事业工勤2个。2023年末，实有在职职工28人，其中临聘人员8人。</w:t>
      </w:r>
    </w:p>
    <w:p>
      <w:pPr>
        <w:spacing w:line="560" w:lineRule="exact"/>
        <w:ind w:firstLine="639" w:firstLineChars="213"/>
        <w:rPr>
          <w:szCs w:val="30"/>
        </w:rPr>
      </w:pPr>
      <w:r>
        <w:rPr>
          <w:rFonts w:hint="eastAsia" w:ascii="黑体" w:hAnsi="黑体" w:eastAsia="黑体" w:cs="黑体"/>
          <w:szCs w:val="30"/>
        </w:rPr>
        <w:t>二、单位财政资金收支情况</w:t>
      </w:r>
    </w:p>
    <w:p>
      <w:pPr>
        <w:spacing w:line="560" w:lineRule="exact"/>
        <w:ind w:firstLine="639" w:firstLineChars="213"/>
        <w:rPr>
          <w:szCs w:val="30"/>
        </w:rPr>
      </w:pPr>
      <w:r>
        <w:rPr>
          <w:rFonts w:hint="eastAsia"/>
          <w:szCs w:val="30"/>
        </w:rPr>
        <w:t>（一）单位财政资金收入情况</w:t>
      </w:r>
    </w:p>
    <w:p>
      <w:pPr>
        <w:spacing w:line="560" w:lineRule="exact"/>
        <w:ind w:firstLine="639" w:firstLineChars="213"/>
        <w:rPr>
          <w:szCs w:val="30"/>
        </w:rPr>
      </w:pPr>
      <w:r>
        <w:rPr>
          <w:rFonts w:hint="eastAsia"/>
          <w:szCs w:val="30"/>
        </w:rPr>
        <w:t>2023年本年收入合计</w:t>
      </w:r>
      <w:r>
        <w:rPr>
          <w:szCs w:val="30"/>
        </w:rPr>
        <w:t>627.39</w:t>
      </w:r>
      <w:r>
        <w:rPr>
          <w:rFonts w:hint="eastAsia"/>
          <w:szCs w:val="30"/>
        </w:rPr>
        <w:t>万元，其中：一般公共预算财政拨款收入</w:t>
      </w:r>
      <w:r>
        <w:rPr>
          <w:szCs w:val="30"/>
        </w:rPr>
        <w:t>366.13</w:t>
      </w:r>
      <w:r>
        <w:rPr>
          <w:rFonts w:hint="eastAsia"/>
          <w:szCs w:val="30"/>
        </w:rPr>
        <w:t>万元，占总收入的</w:t>
      </w:r>
      <w:r>
        <w:rPr>
          <w:szCs w:val="30"/>
        </w:rPr>
        <w:t>58.36%</w:t>
      </w:r>
      <w:r>
        <w:rPr>
          <w:rFonts w:hint="eastAsia"/>
          <w:szCs w:val="30"/>
        </w:rPr>
        <w:t>；政府性基金预算财政拨款收入</w:t>
      </w:r>
      <w:r>
        <w:rPr>
          <w:szCs w:val="30"/>
        </w:rPr>
        <w:t>261.26</w:t>
      </w:r>
      <w:r>
        <w:rPr>
          <w:rFonts w:hint="eastAsia"/>
          <w:szCs w:val="30"/>
        </w:rPr>
        <w:t>万元，占总收入的</w:t>
      </w:r>
      <w:r>
        <w:rPr>
          <w:szCs w:val="30"/>
        </w:rPr>
        <w:t>41.64%</w:t>
      </w:r>
      <w:r>
        <w:rPr>
          <w:rFonts w:hint="eastAsia"/>
          <w:szCs w:val="30"/>
        </w:rPr>
        <w:t>；无其他收入。</w:t>
      </w:r>
    </w:p>
    <w:p>
      <w:pPr>
        <w:spacing w:line="560" w:lineRule="exact"/>
        <w:ind w:firstLine="639" w:firstLineChars="213"/>
        <w:rPr>
          <w:szCs w:val="30"/>
        </w:rPr>
      </w:pPr>
      <w:r>
        <w:rPr>
          <w:rFonts w:hint="eastAsia"/>
          <w:szCs w:val="30"/>
        </w:rPr>
        <w:t>（二）单位财政资金支出情况</w:t>
      </w:r>
    </w:p>
    <w:p>
      <w:pPr>
        <w:spacing w:line="560" w:lineRule="exact"/>
        <w:ind w:firstLine="639" w:firstLineChars="213"/>
        <w:rPr>
          <w:szCs w:val="30"/>
        </w:rPr>
      </w:pPr>
      <w:r>
        <w:rPr>
          <w:rFonts w:hint="eastAsia"/>
          <w:szCs w:val="30"/>
        </w:rPr>
        <w:t>2023年本年支出合计</w:t>
      </w:r>
      <w:r>
        <w:rPr>
          <w:szCs w:val="30"/>
        </w:rPr>
        <w:t>627.39</w:t>
      </w:r>
      <w:r>
        <w:rPr>
          <w:rFonts w:hint="eastAsia"/>
          <w:szCs w:val="30"/>
        </w:rPr>
        <w:t>万元，其中：基本支出</w:t>
      </w:r>
      <w:r>
        <w:rPr>
          <w:szCs w:val="30"/>
        </w:rPr>
        <w:t>312.51</w:t>
      </w:r>
      <w:r>
        <w:rPr>
          <w:rFonts w:hint="eastAsia"/>
          <w:szCs w:val="30"/>
        </w:rPr>
        <w:t>万元，占</w:t>
      </w:r>
      <w:r>
        <w:rPr>
          <w:szCs w:val="30"/>
        </w:rPr>
        <w:t>49.81%</w:t>
      </w:r>
      <w:r>
        <w:rPr>
          <w:rFonts w:hint="eastAsia"/>
          <w:szCs w:val="30"/>
        </w:rPr>
        <w:t>；项目支出</w:t>
      </w:r>
      <w:r>
        <w:rPr>
          <w:szCs w:val="30"/>
        </w:rPr>
        <w:t>314.88</w:t>
      </w:r>
      <w:r>
        <w:rPr>
          <w:rFonts w:hint="eastAsia"/>
          <w:szCs w:val="30"/>
        </w:rPr>
        <w:t>万元，占</w:t>
      </w:r>
      <w:r>
        <w:rPr>
          <w:szCs w:val="30"/>
        </w:rPr>
        <w:t>50.19%</w:t>
      </w:r>
      <w:r>
        <w:rPr>
          <w:rFonts w:hint="eastAsia"/>
          <w:szCs w:val="30"/>
        </w:rPr>
        <w:t>。</w:t>
      </w:r>
    </w:p>
    <w:p>
      <w:pPr>
        <w:spacing w:line="560" w:lineRule="exact"/>
        <w:ind w:firstLine="639" w:firstLineChars="213"/>
        <w:rPr>
          <w:szCs w:val="30"/>
        </w:rPr>
      </w:pPr>
      <w:r>
        <w:rPr>
          <w:rFonts w:hint="eastAsia"/>
          <w:szCs w:val="30"/>
        </w:rPr>
        <w:t>其中：机关事业单位基本养老保险支出35.17万元，占总支出的5.61%；</w:t>
      </w:r>
    </w:p>
    <w:p>
      <w:pPr>
        <w:spacing w:line="560" w:lineRule="exact"/>
        <w:ind w:firstLine="639" w:firstLineChars="213"/>
        <w:rPr>
          <w:szCs w:val="30"/>
        </w:rPr>
      </w:pPr>
      <w:r>
        <w:rPr>
          <w:rFonts w:hint="eastAsia"/>
          <w:szCs w:val="30"/>
        </w:rPr>
        <w:t>事业单位医疗10.03万元，占总支出的1.60%；</w:t>
      </w:r>
    </w:p>
    <w:p>
      <w:pPr>
        <w:spacing w:line="560" w:lineRule="exact"/>
        <w:ind w:firstLine="639" w:firstLineChars="213"/>
        <w:rPr>
          <w:szCs w:val="30"/>
        </w:rPr>
      </w:pPr>
      <w:r>
        <w:rPr>
          <w:rFonts w:hint="eastAsia"/>
          <w:szCs w:val="30"/>
        </w:rPr>
        <w:t>城乡社区支出313.38万元，占总支出的49.95%；</w:t>
      </w:r>
    </w:p>
    <w:p>
      <w:pPr>
        <w:spacing w:line="560" w:lineRule="exact"/>
        <w:ind w:firstLine="639" w:firstLineChars="213"/>
        <w:rPr>
          <w:szCs w:val="30"/>
        </w:rPr>
      </w:pPr>
      <w:r>
        <w:rPr>
          <w:rFonts w:hint="eastAsia"/>
          <w:szCs w:val="30"/>
        </w:rPr>
        <w:t>农林水支出1.5万元，占总支出的0.24%；</w:t>
      </w:r>
    </w:p>
    <w:p>
      <w:pPr>
        <w:spacing w:line="560" w:lineRule="exact"/>
        <w:ind w:firstLine="639" w:firstLineChars="213"/>
        <w:rPr>
          <w:szCs w:val="30"/>
        </w:rPr>
      </w:pPr>
      <w:r>
        <w:rPr>
          <w:rFonts w:hint="eastAsia"/>
          <w:szCs w:val="30"/>
        </w:rPr>
        <w:t>自然资源海洋气象等支出242.30万元，占总支出的38.62%；</w:t>
      </w:r>
    </w:p>
    <w:p>
      <w:pPr>
        <w:spacing w:line="560" w:lineRule="exact"/>
        <w:ind w:firstLine="639" w:firstLineChars="213"/>
        <w:rPr>
          <w:szCs w:val="30"/>
        </w:rPr>
      </w:pPr>
      <w:r>
        <w:rPr>
          <w:rFonts w:hint="eastAsia"/>
          <w:szCs w:val="30"/>
        </w:rPr>
        <w:t>住房保障支出25.01万元，占总支出的3.99%。</w:t>
      </w:r>
    </w:p>
    <w:p>
      <w:pPr>
        <w:spacing w:line="560" w:lineRule="exact"/>
        <w:ind w:firstLine="639" w:firstLineChars="213"/>
        <w:rPr>
          <w:szCs w:val="30"/>
        </w:rPr>
      </w:pPr>
      <w:r>
        <w:rPr>
          <w:rFonts w:hint="eastAsia" w:ascii="黑体" w:hAnsi="黑体" w:eastAsia="黑体" w:cs="黑体"/>
          <w:szCs w:val="30"/>
        </w:rPr>
        <w:t>三、部门财政支出管理情况</w:t>
      </w:r>
    </w:p>
    <w:p>
      <w:pPr>
        <w:spacing w:line="560" w:lineRule="exact"/>
        <w:ind w:firstLine="639" w:firstLineChars="213"/>
        <w:rPr>
          <w:szCs w:val="30"/>
        </w:rPr>
      </w:pPr>
      <w:r>
        <w:rPr>
          <w:rFonts w:hint="eastAsia"/>
          <w:szCs w:val="30"/>
        </w:rPr>
        <w:t>2023年度财政拨款支出</w:t>
      </w:r>
      <w:r>
        <w:rPr>
          <w:szCs w:val="30"/>
        </w:rPr>
        <w:t>627.39</w:t>
      </w:r>
      <w:r>
        <w:rPr>
          <w:rFonts w:hint="eastAsia"/>
          <w:szCs w:val="30"/>
        </w:rPr>
        <w:t>万元。</w:t>
      </w:r>
    </w:p>
    <w:p>
      <w:pPr>
        <w:spacing w:line="560" w:lineRule="exact"/>
        <w:ind w:firstLine="639" w:firstLineChars="213"/>
        <w:rPr>
          <w:szCs w:val="30"/>
        </w:rPr>
      </w:pPr>
      <w:r>
        <w:rPr>
          <w:rFonts w:hint="eastAsia"/>
          <w:szCs w:val="30"/>
        </w:rPr>
        <w:t>基本支出312.51万元。其中：人员经费312.51万元，公用经费0万元。</w:t>
      </w:r>
    </w:p>
    <w:p>
      <w:pPr>
        <w:spacing w:line="560" w:lineRule="exact"/>
        <w:ind w:firstLine="639" w:firstLineChars="213"/>
        <w:rPr>
          <w:szCs w:val="30"/>
        </w:rPr>
      </w:pPr>
      <w:r>
        <w:rPr>
          <w:rFonts w:hint="eastAsia"/>
          <w:szCs w:val="30"/>
        </w:rPr>
        <w:t>项目支出314.88万元。其中：不动产登记专项经费-不动产登记中心52.12万元，南江县农房登记权籍调查及测绘100.21万元，南江县不动产登记数据清理及整合建库100万元，巴中市不动产登记信息系统统一集中部署项目云存储服务61.05万元，乡村振兴与脱贫攻坚衔接驻村经费1.5万元。</w:t>
      </w:r>
      <w:r>
        <w:rPr>
          <w:szCs w:val="30"/>
        </w:rPr>
        <w:t xml:space="preserve"> </w:t>
      </w:r>
    </w:p>
    <w:p>
      <w:pPr>
        <w:spacing w:line="560" w:lineRule="exact"/>
        <w:ind w:firstLine="639" w:firstLineChars="213"/>
        <w:rPr>
          <w:szCs w:val="30"/>
        </w:rPr>
      </w:pPr>
      <w:r>
        <w:rPr>
          <w:rFonts w:hint="eastAsia"/>
          <w:szCs w:val="30"/>
        </w:rPr>
        <w:t>（一）制度建设情况</w:t>
      </w:r>
    </w:p>
    <w:p>
      <w:pPr>
        <w:spacing w:line="560" w:lineRule="exact"/>
        <w:ind w:firstLine="639" w:firstLineChars="213"/>
        <w:rPr>
          <w:szCs w:val="30"/>
        </w:rPr>
      </w:pPr>
      <w:r>
        <w:rPr>
          <w:rFonts w:hint="eastAsia"/>
          <w:szCs w:val="30"/>
        </w:rPr>
        <w:t>1.财务制度建设情况。为切实规范资金管理，保障资金安全高效运行，制定了《南江县不动产登记中心财务管理制度》，并严格执行财务制度，在资金拨付、审批、支付等环节做到层层把关，确保了财政资金的安全。</w:t>
      </w:r>
    </w:p>
    <w:p>
      <w:pPr>
        <w:spacing w:line="560" w:lineRule="exact"/>
        <w:ind w:firstLine="639" w:firstLineChars="213"/>
        <w:rPr>
          <w:szCs w:val="30"/>
        </w:rPr>
      </w:pPr>
      <w:r>
        <w:rPr>
          <w:rFonts w:hint="eastAsia"/>
          <w:szCs w:val="30"/>
        </w:rPr>
        <w:t>2.内控制度管理情况。建立健全了《南江县不动产登记中心内部控制制度》，制度涵盖预算业务管理、收支业务管理、资产管理、合同管理四个方面业务范畴。并及时查找了风险点，完善了业务流程，使经济业务管理更规范、健康。</w:t>
      </w:r>
    </w:p>
    <w:p>
      <w:pPr>
        <w:spacing w:line="560" w:lineRule="exact"/>
        <w:ind w:firstLine="639" w:firstLineChars="213"/>
        <w:rPr>
          <w:szCs w:val="30"/>
        </w:rPr>
      </w:pPr>
      <w:r>
        <w:rPr>
          <w:rFonts w:hint="eastAsia"/>
          <w:szCs w:val="30"/>
        </w:rPr>
        <w:t>3.工作、纪律制度建立管理情况。建立了《南江县不动产登记中心工作制度》，切实做到了按制度管人、按制度办事。</w:t>
      </w:r>
    </w:p>
    <w:p>
      <w:pPr>
        <w:spacing w:line="560" w:lineRule="exact"/>
        <w:ind w:firstLine="639" w:firstLineChars="213"/>
        <w:rPr>
          <w:szCs w:val="30"/>
        </w:rPr>
      </w:pPr>
      <w:r>
        <w:rPr>
          <w:rFonts w:hint="eastAsia"/>
          <w:szCs w:val="30"/>
        </w:rPr>
        <w:t>（二）绩效目标管理情况</w:t>
      </w:r>
    </w:p>
    <w:p>
      <w:pPr>
        <w:spacing w:line="560" w:lineRule="exact"/>
        <w:ind w:firstLine="639" w:firstLineChars="213"/>
        <w:rPr>
          <w:szCs w:val="30"/>
        </w:rPr>
      </w:pPr>
      <w:r>
        <w:rPr>
          <w:rFonts w:hint="eastAsia"/>
          <w:szCs w:val="30"/>
        </w:rPr>
        <w:t>1.预算编制情况</w:t>
      </w:r>
    </w:p>
    <w:p>
      <w:pPr>
        <w:spacing w:line="560" w:lineRule="exact"/>
        <w:ind w:firstLine="639" w:firstLineChars="213"/>
        <w:rPr>
          <w:szCs w:val="30"/>
        </w:rPr>
      </w:pPr>
      <w:r>
        <w:rPr>
          <w:rFonts w:hint="eastAsia"/>
          <w:szCs w:val="30"/>
        </w:rPr>
        <w:t>根据“总量控制、计划管理”的要求从严控制机关经费，压缩公业务费，科学编制项目支出，严格按照预算编制方案科学合理编制本单位预算，提前做好情况摸底、数据收集、填报绩效目标、细化专项预算，按照人员经费逐人核定编制，公用经费按定额编制。按时完成预算编制报送工作。</w:t>
      </w:r>
    </w:p>
    <w:p>
      <w:pPr>
        <w:spacing w:line="560" w:lineRule="exact"/>
        <w:ind w:firstLine="639" w:firstLineChars="213"/>
        <w:rPr>
          <w:szCs w:val="30"/>
        </w:rPr>
      </w:pPr>
      <w:r>
        <w:rPr>
          <w:rFonts w:hint="eastAsia"/>
          <w:szCs w:val="30"/>
        </w:rPr>
        <w:t>2.绩效目标填报、监控管理、评价情况</w:t>
      </w:r>
    </w:p>
    <w:p>
      <w:pPr>
        <w:spacing w:line="560" w:lineRule="exact"/>
        <w:ind w:firstLine="639" w:firstLineChars="213"/>
        <w:rPr>
          <w:szCs w:val="30"/>
        </w:rPr>
      </w:pPr>
      <w:r>
        <w:rPr>
          <w:rFonts w:hint="eastAsia"/>
          <w:szCs w:val="30"/>
        </w:rPr>
        <w:t>认真执行年初部门预算和财政政策要求。我单位经费安排严格按照年初预算来执行，有效防止超预算；在资金使用上，严格遵守各项财经法规和财务管理制度规定。在项目资金管理方面，单位建立和健全项目资金管理制度和管理办法。严格资金的使用和划拨流程，确保资金使用安全、公平、合理。项目资金做到了专款专用，及时支付。</w:t>
      </w:r>
    </w:p>
    <w:p>
      <w:pPr>
        <w:spacing w:line="560" w:lineRule="exact"/>
        <w:ind w:firstLine="639" w:firstLineChars="213"/>
        <w:rPr>
          <w:szCs w:val="30"/>
        </w:rPr>
      </w:pPr>
      <w:r>
        <w:rPr>
          <w:rFonts w:hint="eastAsia"/>
          <w:szCs w:val="30"/>
        </w:rPr>
        <w:t>（三）综合管理情况</w:t>
      </w:r>
    </w:p>
    <w:p>
      <w:pPr>
        <w:spacing w:line="560" w:lineRule="exact"/>
        <w:ind w:firstLine="639" w:firstLineChars="213"/>
        <w:rPr>
          <w:szCs w:val="30"/>
        </w:rPr>
      </w:pPr>
      <w:r>
        <w:rPr>
          <w:rFonts w:hint="eastAsia"/>
          <w:szCs w:val="30"/>
        </w:rPr>
        <w:t>1.政府性债务管理情况。我中心2023年无政府性债务。</w:t>
      </w:r>
    </w:p>
    <w:p>
      <w:pPr>
        <w:spacing w:line="560" w:lineRule="exact"/>
        <w:ind w:firstLine="639" w:firstLineChars="213"/>
        <w:rPr>
          <w:szCs w:val="30"/>
        </w:rPr>
      </w:pPr>
      <w:r>
        <w:rPr>
          <w:rFonts w:hint="eastAsia"/>
          <w:szCs w:val="30"/>
        </w:rPr>
        <w:t>2.政府采购管理情况。南江县不动产登记中心所有采购工作均按照《政府物资采购制度》实施。</w:t>
      </w:r>
    </w:p>
    <w:p>
      <w:pPr>
        <w:spacing w:line="560" w:lineRule="exact"/>
        <w:ind w:firstLine="639" w:firstLineChars="213"/>
        <w:rPr>
          <w:szCs w:val="30"/>
        </w:rPr>
      </w:pPr>
      <w:r>
        <w:rPr>
          <w:rFonts w:hint="eastAsia"/>
          <w:szCs w:val="30"/>
        </w:rPr>
        <w:t>3.财务管理情况。严格执行《预算法》、《政府会计制度》，建立《南江县不动产登记中心财务制度》，规范账务处理，会计凭证和财务报告真实完整，不做假账。严格报账审核，严把审批支付关口。</w:t>
      </w:r>
    </w:p>
    <w:p>
      <w:pPr>
        <w:spacing w:line="560" w:lineRule="exact"/>
        <w:ind w:firstLine="639" w:firstLineChars="213"/>
        <w:rPr>
          <w:szCs w:val="30"/>
        </w:rPr>
      </w:pPr>
      <w:r>
        <w:rPr>
          <w:rFonts w:hint="eastAsia"/>
          <w:szCs w:val="30"/>
        </w:rPr>
        <w:t>4.资产管理情况。严格按照《资产管理办法》执行，同时单位资产实行“谁使用、谁负责”的管理原则，及时进行资产清查盘点，确保了账实相符。</w:t>
      </w:r>
    </w:p>
    <w:p>
      <w:pPr>
        <w:spacing w:line="560" w:lineRule="exact"/>
        <w:ind w:firstLine="639" w:firstLineChars="213"/>
        <w:rPr>
          <w:szCs w:val="30"/>
        </w:rPr>
      </w:pPr>
      <w:r>
        <w:rPr>
          <w:rFonts w:hint="eastAsia"/>
          <w:szCs w:val="30"/>
        </w:rPr>
        <w:t>5.信息公开情况。按照要求，及时在预决算批复后20日内，在南江县人民政府网站进行了信息公开，公开内容真实、完整。</w:t>
      </w:r>
    </w:p>
    <w:p>
      <w:pPr>
        <w:spacing w:line="560" w:lineRule="exact"/>
        <w:ind w:firstLine="639" w:firstLineChars="213"/>
        <w:rPr>
          <w:szCs w:val="30"/>
        </w:rPr>
      </w:pPr>
      <w:r>
        <w:rPr>
          <w:rFonts w:hint="eastAsia"/>
          <w:szCs w:val="30"/>
        </w:rPr>
        <w:t>6.依法接受财政、审计、纪检监察、巡查等部门的监督检查。严守财经法规，严格财经纪律，依法接受财政、审计、巡察、派驻纪检监督，按时上报各类资料。</w:t>
      </w:r>
    </w:p>
    <w:p>
      <w:pPr>
        <w:spacing w:line="560" w:lineRule="exact"/>
        <w:ind w:firstLine="639" w:firstLineChars="213"/>
        <w:rPr>
          <w:szCs w:val="30"/>
        </w:rPr>
      </w:pPr>
      <w:r>
        <w:rPr>
          <w:rFonts w:hint="eastAsia"/>
          <w:szCs w:val="30"/>
        </w:rPr>
        <w:t>（四）综合绩效情况</w:t>
      </w:r>
    </w:p>
    <w:p>
      <w:pPr>
        <w:spacing w:line="560" w:lineRule="exact"/>
        <w:ind w:firstLine="639" w:firstLineChars="213"/>
        <w:rPr>
          <w:szCs w:val="30"/>
        </w:rPr>
      </w:pPr>
      <w:r>
        <w:rPr>
          <w:rFonts w:hint="eastAsia"/>
          <w:szCs w:val="30"/>
        </w:rPr>
        <w:t>严格遵守中央八项规定及省市县有关厉行勤俭节约相关规定，严格执行财务管理制度，根据年初预算合理安排日常公用经费资金，做到厉行节约、精打细算，把有效的资金合理运用起来，让财政资金发挥最大的社会及经济效益并保证各项工作的正常运转</w:t>
      </w:r>
    </w:p>
    <w:p>
      <w:pPr>
        <w:spacing w:line="560" w:lineRule="exact"/>
        <w:ind w:firstLine="639" w:firstLineChars="213"/>
        <w:rPr>
          <w:rFonts w:ascii="黑体" w:hAnsi="黑体" w:eastAsia="黑体" w:cs="黑体"/>
          <w:szCs w:val="30"/>
        </w:rPr>
      </w:pPr>
      <w:r>
        <w:rPr>
          <w:rFonts w:hint="eastAsia" w:ascii="黑体" w:hAnsi="黑体" w:eastAsia="黑体" w:cs="黑体"/>
          <w:szCs w:val="30"/>
        </w:rPr>
        <w:t>四、评价结论及建议</w:t>
      </w:r>
    </w:p>
    <w:p>
      <w:pPr>
        <w:spacing w:line="560" w:lineRule="exact"/>
        <w:ind w:firstLine="639" w:firstLineChars="213"/>
        <w:rPr>
          <w:szCs w:val="30"/>
        </w:rPr>
      </w:pPr>
      <w:r>
        <w:rPr>
          <w:rFonts w:hint="eastAsia"/>
          <w:szCs w:val="30"/>
        </w:rPr>
        <w:t>（一）评价结论</w:t>
      </w:r>
    </w:p>
    <w:p>
      <w:pPr>
        <w:spacing w:line="560" w:lineRule="exact"/>
        <w:ind w:firstLine="639" w:firstLineChars="213"/>
        <w:rPr>
          <w:szCs w:val="30"/>
        </w:rPr>
      </w:pPr>
      <w:r>
        <w:rPr>
          <w:rFonts w:hint="eastAsia"/>
          <w:szCs w:val="30"/>
        </w:rPr>
        <w:t>单位在各项资金使用和项目实施中，能够按照国家相关建设规定执行和实施，项目的管理、实施和效果均达到预期目的：管理较规范，实施进度快，最终效果好。实施决策正确，适应了新的发展要求，有利于不动产统一登记工作的可持续发展。</w:t>
      </w:r>
    </w:p>
    <w:p>
      <w:pPr>
        <w:spacing w:line="560" w:lineRule="exact"/>
        <w:ind w:firstLine="639" w:firstLineChars="213"/>
        <w:rPr>
          <w:szCs w:val="30"/>
        </w:rPr>
      </w:pPr>
      <w:r>
        <w:rPr>
          <w:rFonts w:hint="eastAsia"/>
          <w:szCs w:val="30"/>
        </w:rPr>
        <w:t>（二）存在问题</w:t>
      </w:r>
    </w:p>
    <w:p>
      <w:pPr>
        <w:spacing w:line="560" w:lineRule="exact"/>
        <w:ind w:firstLine="639" w:firstLineChars="213"/>
        <w:rPr>
          <w:szCs w:val="30"/>
        </w:rPr>
      </w:pPr>
      <w:r>
        <w:rPr>
          <w:rFonts w:hint="eastAsia"/>
          <w:szCs w:val="30"/>
        </w:rPr>
        <w:t>预算编制工作有待细化。预算编制不够明确和细化，预算编制的合理性需要提高，绩效编制有待改进。</w:t>
      </w:r>
    </w:p>
    <w:p>
      <w:pPr>
        <w:spacing w:line="560" w:lineRule="exact"/>
        <w:ind w:firstLine="639" w:firstLineChars="213"/>
        <w:rPr>
          <w:szCs w:val="30"/>
        </w:rPr>
      </w:pPr>
      <w:r>
        <w:rPr>
          <w:rFonts w:hint="eastAsia"/>
          <w:szCs w:val="30"/>
        </w:rPr>
        <w:t>（三）改进建议</w:t>
      </w:r>
    </w:p>
    <w:p>
      <w:pPr>
        <w:spacing w:line="560" w:lineRule="exact"/>
        <w:ind w:firstLine="639" w:firstLineChars="213"/>
        <w:rPr>
          <w:szCs w:val="30"/>
        </w:rPr>
      </w:pPr>
      <w:r>
        <w:rPr>
          <w:rFonts w:hint="eastAsia"/>
          <w:szCs w:val="30"/>
        </w:rPr>
        <w:t>1.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39" w:firstLineChars="213"/>
        <w:rPr>
          <w:szCs w:val="30"/>
        </w:rPr>
      </w:pPr>
      <w:r>
        <w:rPr>
          <w:rFonts w:hint="eastAsia"/>
          <w:szCs w:val="30"/>
        </w:rPr>
        <w:t>2.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560" w:lineRule="exact"/>
        <w:ind w:firstLine="639" w:firstLineChars="213"/>
        <w:rPr>
          <w:szCs w:val="30"/>
        </w:rPr>
      </w:pPr>
      <w:r>
        <w:rPr>
          <w:rFonts w:hint="eastAsia"/>
          <w:szCs w:val="30"/>
        </w:rPr>
        <w:t>3.按照不动产登记要求，建议上级主管部门、地方政府加大对资金的投入支持。确保县不动产登记工作能够有效、正常运转，以便提高工作效益。进一步制定好绩效计划，让绩效目标更加完善。</w:t>
      </w:r>
    </w:p>
    <w:p>
      <w:pPr>
        <w:spacing w:line="360" w:lineRule="auto"/>
        <w:ind w:firstLine="663" w:firstLineChars="221"/>
        <w:rPr>
          <w:rFonts w:cs="仿宋_GB2312" w:asciiTheme="minorEastAsia" w:hAnsiTheme="minorEastAsia" w:eastAsiaTheme="minorEastAsia"/>
          <w:szCs w:val="30"/>
        </w:rPr>
        <w:sectPr>
          <w:footerReference r:id="rId3" w:type="default"/>
          <w:pgSz w:w="11906" w:h="16838"/>
          <w:pgMar w:top="1440" w:right="1800" w:bottom="1440" w:left="1800" w:header="720" w:footer="720" w:gutter="0"/>
          <w:pgNumType w:start="0"/>
          <w:cols w:space="720" w:num="1"/>
          <w:titlePg/>
          <w:docGrid w:type="lines" w:linePitch="408" w:charSpace="0"/>
        </w:sectPr>
      </w:pPr>
    </w:p>
    <w:tbl>
      <w:tblPr>
        <w:tblStyle w:val="17"/>
        <w:tblW w:w="14160" w:type="dxa"/>
        <w:tblInd w:w="93" w:type="dxa"/>
        <w:tblLayout w:type="fixed"/>
        <w:tblCellMar>
          <w:top w:w="0" w:type="dxa"/>
          <w:left w:w="108" w:type="dxa"/>
          <w:bottom w:w="0" w:type="dxa"/>
          <w:right w:w="108" w:type="dxa"/>
        </w:tblCellMar>
      </w:tblPr>
      <w:tblGrid>
        <w:gridCol w:w="696"/>
        <w:gridCol w:w="2010"/>
        <w:gridCol w:w="9"/>
        <w:gridCol w:w="1736"/>
        <w:gridCol w:w="16"/>
        <w:gridCol w:w="2193"/>
        <w:gridCol w:w="26"/>
        <w:gridCol w:w="489"/>
        <w:gridCol w:w="28"/>
        <w:gridCol w:w="1627"/>
        <w:gridCol w:w="46"/>
        <w:gridCol w:w="686"/>
        <w:gridCol w:w="24"/>
        <w:gridCol w:w="1076"/>
        <w:gridCol w:w="15"/>
        <w:gridCol w:w="504"/>
        <w:gridCol w:w="14"/>
        <w:gridCol w:w="444"/>
        <w:gridCol w:w="13"/>
        <w:gridCol w:w="2508"/>
      </w:tblGrid>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45" w:type="dxa"/>
            <w:gridSpan w:val="1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51192221Y000000030263-在职人员公用经费</w:t>
            </w:r>
          </w:p>
        </w:tc>
      </w:tr>
      <w:tr>
        <w:tblPrEx>
          <w:tblLayout w:type="fixed"/>
          <w:tblCellMar>
            <w:top w:w="0" w:type="dxa"/>
            <w:left w:w="108" w:type="dxa"/>
            <w:bottom w:w="0" w:type="dxa"/>
            <w:right w:w="108" w:type="dxa"/>
          </w:tblCellMar>
        </w:tblPrEx>
        <w:trPr>
          <w:trHeight w:val="514"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47" w:type="dxa"/>
            <w:gridSpan w:val="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100"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47" w:type="dxa"/>
            <w:gridSpan w:val="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98" w:type="dxa"/>
            <w:gridSpan w:val="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47" w:type="dxa"/>
            <w:gridSpan w:val="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提高预算编制质量，严格执行预算，保障单位日常运转</w:t>
            </w:r>
          </w:p>
        </w:tc>
        <w:tc>
          <w:tcPr>
            <w:tcW w:w="4598" w:type="dxa"/>
            <w:gridSpan w:val="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45" w:type="dxa"/>
            <w:gridSpan w:val="1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876" w:type="dxa"/>
            <w:gridSpan w:val="5"/>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18.62</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17.85</w:t>
            </w:r>
          </w:p>
        </w:tc>
        <w:tc>
          <w:tcPr>
            <w:tcW w:w="2876" w:type="dxa"/>
            <w:gridSpan w:val="5"/>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16.30</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91.30%</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18.62</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17.85</w:t>
            </w:r>
          </w:p>
        </w:tc>
        <w:tc>
          <w:tcPr>
            <w:tcW w:w="2876" w:type="dxa"/>
            <w:gridSpan w:val="5"/>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16.30</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91.30%</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21"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76" w:type="dxa"/>
            <w:gridSpan w:val="5"/>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21"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76" w:type="dxa"/>
            <w:gridSpan w:val="5"/>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21"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627"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76" w:type="dxa"/>
            <w:gridSpan w:val="5"/>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21"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73"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686"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1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73"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86"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67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51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73"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86"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90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51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73"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86"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9"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52"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51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73"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86"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6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2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48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2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57"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52"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1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73"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68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100"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2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51192222R000005773542-退休人员一次性补贴</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1.79</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1.79</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51192222R000006735342-工资调标增资</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single" w:color="auto" w:sz="4" w:space="0"/>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single" w:color="auto" w:sz="4" w:space="0"/>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single" w:color="auto"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51192222T000000354706-购买服务-不动产登记中心</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90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根据《国土资源管理工作会议纪要》（南府阅〔2016〕17号）以及上级批复，为完成我县不动产登记各项工作，购买服务人员10名，预计2023年投入经费330000元，已解决不动产登记政务服务窗口人员不足问题，满足日常业务开展需要。</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不动产登记超时件</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不动产登记办理时限</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不动产登记办理人数</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人/年</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不动产登记办理满意评价</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人/年</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人员经费支出</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330000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51192222T000000356194-不动产登记专项经费-不动产登记中心</w:t>
            </w:r>
          </w:p>
        </w:tc>
      </w:tr>
      <w:tr>
        <w:tblPrEx>
          <w:tblLayout w:type="fixed"/>
          <w:tblCellMar>
            <w:top w:w="0" w:type="dxa"/>
            <w:left w:w="108" w:type="dxa"/>
            <w:bottom w:w="0" w:type="dxa"/>
            <w:right w:w="108" w:type="dxa"/>
          </w:tblCellMar>
        </w:tblPrEx>
        <w:trPr>
          <w:trHeight w:val="606"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根据上级要求和单位职能职责，为完成我县不动产登记各项年度目标工作任务，切实优化营商环境，确保办结率达95%以上，预计投入专项经费550000元，以解决不动产登记业务办理便利化、信息化，达到一流营商环境要求。</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19.12</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38.24%</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19.12</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38.24%</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不动产登记办件量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不动产登记超时件</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不动产登记办理时限</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人/年</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各项工作经费支出</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550000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51192222T000005078475-南江县农房登记权籍调查及测绘</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135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根据《关于印发&lt;南江县农村宅基地及农房统一确权登记工作方案&gt;的通知》（南府办〔2017〕109号）要求，为完成全县约15万户农村不动产统一确权登记工作，按照合同约定将在2023年完成项目验收后支付30%的金额14900000元，为全面开展农村不动产统一确权登记奠定数据基础，建立农村不动产登记数据库，维护农村居民合法权益，促进农村经济发展，维护社会和谐稳定，助力乡村振兴发展。</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100.21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100.21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100.21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100.21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100.21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100.21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农房确权登记数量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农房登记数量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农房登记数量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农房登记测绘成果</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农房登记完成率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保障农村居民合法权益</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万户</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农民领取证书</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成果运用</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农村居民满意度</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人（户）</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不动产登记满意度达100%</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万个</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合同约定金额</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14900000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51192222T000005078581-南江县不动产登记数据清理及整合建库</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135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根据《南江县人民政府办公室关于印发&lt;南江县不动产登记数据清理及整合建库工作方案&gt;的通知》（南府办〔2019〕6号）要求，为完成南江县不动产登记数据清理及整合建库工作，按照合同约定在2023年项目验收完成后将按比例支付资金6760350元，实现“房地合一”，形成完整的不动产基础数据库，提供数据基础保障，全面支撑南江县不动产登记业务办理，完成国家要求的不动产登记数据汇交工作。</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不动产登记数据清理</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不动产登记数据清理整合</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不动产登记数据大小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不动产登记数据准确率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万条</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办件时限</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保障群众合法权益</w:t>
            </w:r>
          </w:p>
        </w:tc>
        <w:tc>
          <w:tcPr>
            <w:tcW w:w="51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万人</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51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优良</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级</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服务能力大小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不动产登记数据质量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万条</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满意度评价人数</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户（套）</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不动产登记群众满意度达100%</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万人</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合同金额</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6760350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p>
            <w:pPr>
              <w:pStyle w:val="2"/>
            </w:pP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51192222T000005934012-巴中市不动产登记信息系统统一集中部署项目云存储服务</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2037"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根据《巴中市不动产登记信息系统统一集中部署建设方案》《巴中市四届市政府第210次常务会议纪要》等文件要求，为建设覆盖巴中市市本级及三区三县，涉及不动产统一登记信息平台升级改造、不动产登记权籍调查系统、不动产登记数据管理系统、不动产登记档案管理系统、不动产登记微信公众号、市级“一窗办事”平台系统、市协同共享平台建设工作及巴中市不动产登记中心的登记评测服务、维保运维服务、托管服务、数据库服务等，经市财政局研究决定，各县区按比例分摊经费，2023年度预计分摊经费610500元，以解决全市不动产登记信息平台统一部署工作顺利完成，保障我县不动产登记工作顺利开展。</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不动产登记办件量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不动产登记超时件</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不动产登记办理时限</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不动产登记办理人数</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人/年</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按比例分摊金额</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610500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51192222Y000000345281-乡村振兴与脱贫攻坚衔接驻村经费</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完成驻村帮扶工作任务，建强基层党组织，发展集体经济，推进基层治理，为民办事服务。</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69.23%</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69.23%</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驻村人数</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驻村数量</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驻村工作时间</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人均收入增加</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元/户</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社会可持续发展</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人居环境改善</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45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村计提满意度</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驻村工作费用</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15000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51192223R000008443954-在职人员工资-基本工资</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85.83</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85.83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85.83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85.83</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85.83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85.83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51192223R000008444354-在职人员工资-津贴补贴</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6.91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8.67</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8.67</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6.91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8.67</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8.67</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51192223R000008445197-在职人员工资-绩效工资</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48.91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48.91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48.91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48.91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48.91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48.91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51192223R000008445527-在职人员工资-年度考核绩效</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22.08</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22.08</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22.08</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22.08</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51192223R000008445879-在职人员工资-基础绩效奖</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54.30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53.61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53.61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54.30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53.61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53.61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51192223R000008446602-各项计提费用-在职社会保障缴费-养老保险</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31.25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35.03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35.03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31.25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35.03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35.03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p>
            <w:pPr>
              <w:pStyle w:val="2"/>
            </w:pPr>
          </w:p>
          <w:p>
            <w:pPr>
              <w:pStyle w:val="2"/>
            </w:pP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51192223R000008446951-各项计提费用-在职社会保障缴费-医疗保险</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11.16</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11.16</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51192223R000008447334-各项计提费用-在职社会保障缴费-失业保险</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51192223R000008447700-各项计提费用-在职社会保障缴费-工伤保险</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51192223R000008448102-各项计提费用-在职社会保障缴费-补充医疗</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51192223R000008448441-各项计提费用-在职住房公积金</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23.78</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23.78</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p>
            <w:pPr>
              <w:pStyle w:val="2"/>
            </w:pPr>
          </w:p>
          <w:p>
            <w:pPr>
              <w:pStyle w:val="2"/>
            </w:pPr>
          </w:p>
          <w:p>
            <w:pPr>
              <w:pStyle w:val="2"/>
            </w:pPr>
          </w:p>
        </w:tc>
      </w:tr>
      <w:tr>
        <w:tblPrEx>
          <w:tblLayout w:type="fixed"/>
          <w:tblCellMar>
            <w:top w:w="0" w:type="dxa"/>
            <w:left w:w="108" w:type="dxa"/>
            <w:bottom w:w="0" w:type="dxa"/>
            <w:right w:w="108" w:type="dxa"/>
          </w:tblCellMar>
        </w:tblPrEx>
        <w:trPr>
          <w:trHeight w:val="904" w:hRule="atLeast"/>
        </w:trPr>
        <w:tc>
          <w:tcPr>
            <w:tcW w:w="141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黑体" w:hAnsi="黑体" w:eastAsia="黑体" w:cs="宋体"/>
                <w:b/>
                <w:bCs/>
                <w:color w:val="000000"/>
                <w:kern w:val="0"/>
                <w:szCs w:val="30"/>
              </w:rPr>
            </w:pPr>
            <w:r>
              <w:rPr>
                <w:rFonts w:hint="eastAsia" w:ascii="黑体" w:hAnsi="黑体" w:eastAsia="黑体" w:cs="宋体"/>
                <w:b/>
                <w:bCs/>
                <w:color w:val="000000"/>
                <w:kern w:val="0"/>
                <w:szCs w:val="30"/>
              </w:rPr>
              <w:t>部门预算项目支出绩效自评表（2023年度）</w:t>
            </w:r>
          </w:p>
        </w:tc>
      </w:tr>
      <w:tr>
        <w:tblPrEx>
          <w:tblLayout w:type="fixed"/>
          <w:tblCellMar>
            <w:top w:w="0" w:type="dxa"/>
            <w:left w:w="108" w:type="dxa"/>
            <w:bottom w:w="0" w:type="dxa"/>
            <w:right w:w="108" w:type="dxa"/>
          </w:tblCellMar>
        </w:tblPrEx>
        <w:trPr>
          <w:trHeight w:val="285"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51192223R000008472067-离退休人员经费-离休人员目标绩效</w:t>
            </w:r>
          </w:p>
        </w:tc>
      </w:tr>
      <w:tr>
        <w:tblPrEx>
          <w:tblLayout w:type="fixed"/>
          <w:tblCellMar>
            <w:top w:w="0" w:type="dxa"/>
            <w:left w:w="108" w:type="dxa"/>
            <w:bottom w:w="0" w:type="dxa"/>
            <w:right w:w="108" w:type="dxa"/>
          </w:tblCellMar>
        </w:tblPrEx>
        <w:trPr>
          <w:trHeight w:val="514"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自然资源和规划局</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南江县不动产登记中心</w:t>
            </w:r>
          </w:p>
        </w:tc>
      </w:tr>
      <w:tr>
        <w:tblPrEx>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Layout w:type="fixed"/>
          <w:tblCellMar>
            <w:top w:w="0" w:type="dxa"/>
            <w:left w:w="108" w:type="dxa"/>
            <w:bottom w:w="0" w:type="dxa"/>
            <w:right w:w="108" w:type="dxa"/>
          </w:tblCellMar>
        </w:tblPrEx>
        <w:trPr>
          <w:trHeight w:val="7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6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4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对照年度目标，说明相关任务目标的完成情况（100字以内）</w:t>
            </w:r>
          </w:p>
        </w:tc>
      </w:tr>
      <w:tr>
        <w:tblPrEx>
          <w:tblLayout w:type="fixed"/>
          <w:tblCellMar>
            <w:top w:w="0" w:type="dxa"/>
            <w:left w:w="108" w:type="dxa"/>
            <w:bottom w:w="0" w:type="dxa"/>
            <w:right w:w="108" w:type="dxa"/>
          </w:tblCellMar>
        </w:tblPrEx>
        <w:trPr>
          <w:trHeight w:val="694"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54" w:type="dxa"/>
            <w:gridSpan w:val="18"/>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Layout w:type="fixed"/>
          <w:tblCellMar>
            <w:top w:w="0" w:type="dxa"/>
            <w:left w:w="108" w:type="dxa"/>
            <w:bottom w:w="0" w:type="dxa"/>
            <w:right w:w="108" w:type="dxa"/>
          </w:tblCellMar>
        </w:tblPrEx>
        <w:trPr>
          <w:trHeight w:val="34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0.14</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0.14</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0.14</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0.14</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6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6" w:type="dxa"/>
            <w:gridSpan w:val="7"/>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08"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Courier New" w:hAnsi="Courier New" w:cs="Courier New"/>
                <w:i/>
                <w:iCs/>
                <w:color w:val="000000"/>
                <w:kern w:val="0"/>
                <w:sz w:val="18"/>
                <w:szCs w:val="18"/>
              </w:rPr>
            </w:pPr>
          </w:p>
        </w:tc>
      </w:tr>
      <w:tr>
        <w:tblPrEx>
          <w:tblLayout w:type="fixed"/>
          <w:tblCellMar>
            <w:top w:w="0" w:type="dxa"/>
            <w:left w:w="108" w:type="dxa"/>
            <w:bottom w:w="0" w:type="dxa"/>
            <w:right w:w="108" w:type="dxa"/>
          </w:tblCellMar>
        </w:tblPrEx>
        <w:trPr>
          <w:trHeight w:val="454"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338"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suppressAutoHyphens w:val="0"/>
              <w:jc w:val="left"/>
              <w:rPr>
                <w:rFonts w:ascii="宋体" w:hAnsi="宋体" w:cs="宋体"/>
                <w:color w:val="000000"/>
                <w:kern w:val="0"/>
                <w:sz w:val="18"/>
                <w:szCs w:val="18"/>
              </w:rPr>
            </w:pPr>
          </w:p>
        </w:tc>
        <w:tc>
          <w:tcPr>
            <w:tcW w:w="2010"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9"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1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55"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6" w:type="dxa"/>
            <w:gridSpan w:val="3"/>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1"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Layout w:type="fixed"/>
          <w:tblCellMar>
            <w:top w:w="0" w:type="dxa"/>
            <w:left w:w="108" w:type="dxa"/>
            <w:bottom w:w="0" w:type="dxa"/>
            <w:right w:w="108" w:type="dxa"/>
          </w:tblCellMar>
        </w:tblPrEx>
        <w:trPr>
          <w:trHeight w:val="285" w:hRule="atLeast"/>
        </w:trPr>
        <w:tc>
          <w:tcPr>
            <w:tcW w:w="106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8"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7" w:type="dxa"/>
            <w:gridSpan w:val="2"/>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08" w:type="dxa"/>
            <w:tcBorders>
              <w:top w:val="nil"/>
              <w:left w:val="nil"/>
              <w:bottom w:val="single" w:color="000000" w:sz="4" w:space="0"/>
              <w:right w:val="single" w:color="000000" w:sz="4" w:space="0"/>
            </w:tcBorders>
            <w:shd w:val="clear" w:color="auto" w:fill="auto"/>
            <w:vAlign w:val="center"/>
          </w:tcPr>
          <w:p>
            <w:pPr>
              <w:widowControl/>
              <w:suppressAutoHyphens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0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Layout w:type="fixed"/>
          <w:tblCellMar>
            <w:top w:w="0" w:type="dxa"/>
            <w:left w:w="108" w:type="dxa"/>
            <w:bottom w:w="0" w:type="dxa"/>
            <w:right w:w="108" w:type="dxa"/>
          </w:tblCellMar>
        </w:tblPrEx>
        <w:trPr>
          <w:trHeight w:val="57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widowControl/>
              <w:suppressAutoHyphens w:val="0"/>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4" w:type="dxa"/>
            <w:gridSpan w:val="19"/>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Layout w:type="fixed"/>
          <w:tblCellMar>
            <w:top w:w="0" w:type="dxa"/>
            <w:left w:w="108" w:type="dxa"/>
            <w:bottom w:w="0" w:type="dxa"/>
            <w:right w:w="108" w:type="dxa"/>
          </w:tblCellMar>
        </w:tblPrEx>
        <w:trPr>
          <w:trHeight w:val="285" w:hRule="atLeast"/>
        </w:trPr>
        <w:tc>
          <w:tcPr>
            <w:tcW w:w="7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6985" w:type="dxa"/>
            <w:gridSpan w:val="12"/>
            <w:tcBorders>
              <w:top w:val="single" w:color="000000" w:sz="4" w:space="0"/>
              <w:left w:val="nil"/>
              <w:bottom w:val="single" w:color="000000" w:sz="4" w:space="0"/>
              <w:right w:val="single" w:color="000000" w:sz="4" w:space="0"/>
            </w:tcBorders>
            <w:shd w:val="clear" w:color="auto" w:fill="auto"/>
            <w:vAlign w:val="center"/>
          </w:tcPr>
          <w:p>
            <w:pPr>
              <w:widowControl/>
              <w:suppressAutoHyphens w:val="0"/>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Layout w:type="fixed"/>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010"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74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209"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655"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756" w:type="dxa"/>
            <w:gridSpan w:val="3"/>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1091"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518"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457" w:type="dxa"/>
            <w:gridSpan w:val="2"/>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c>
          <w:tcPr>
            <w:tcW w:w="2508" w:type="dxa"/>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5" w:hRule="atLeast"/>
        </w:trPr>
        <w:tc>
          <w:tcPr>
            <w:tcW w:w="14160" w:type="dxa"/>
            <w:gridSpan w:val="20"/>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p>
        </w:tc>
      </w:tr>
      <w:tr>
        <w:tblPrEx>
          <w:tblLayout w:type="fixed"/>
          <w:tblCellMar>
            <w:top w:w="0" w:type="dxa"/>
            <w:left w:w="108" w:type="dxa"/>
            <w:bottom w:w="0" w:type="dxa"/>
            <w:right w:w="108" w:type="dxa"/>
          </w:tblCellMar>
        </w:tblPrEx>
        <w:trPr>
          <w:trHeight w:val="285" w:hRule="atLeast"/>
        </w:trPr>
        <w:tc>
          <w:tcPr>
            <w:tcW w:w="14160" w:type="dxa"/>
            <w:gridSpan w:val="20"/>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2、取数口径：部门项目绩效目标表信息，包括年初预算、追加预算、结转预算和调整预算的绩效目标（以项目的最终绩效目标为准）。</w:t>
            </w:r>
          </w:p>
        </w:tc>
      </w:tr>
      <w:tr>
        <w:tblPrEx>
          <w:tblLayout w:type="fixed"/>
          <w:tblCellMar>
            <w:top w:w="0" w:type="dxa"/>
            <w:left w:w="108" w:type="dxa"/>
            <w:bottom w:w="0" w:type="dxa"/>
            <w:right w:w="108" w:type="dxa"/>
          </w:tblCellMar>
        </w:tblPrEx>
        <w:trPr>
          <w:trHeight w:val="285" w:hRule="atLeast"/>
        </w:trPr>
        <w:tc>
          <w:tcPr>
            <w:tcW w:w="14160" w:type="dxa"/>
            <w:gridSpan w:val="20"/>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适用地区：全省范围</w:t>
            </w:r>
          </w:p>
        </w:tc>
      </w:tr>
      <w:tr>
        <w:tblPrEx>
          <w:tblLayout w:type="fixed"/>
          <w:tblCellMar>
            <w:top w:w="0" w:type="dxa"/>
            <w:left w:w="108" w:type="dxa"/>
            <w:bottom w:w="0" w:type="dxa"/>
            <w:right w:w="108" w:type="dxa"/>
          </w:tblCellMar>
        </w:tblPrEx>
        <w:trPr>
          <w:trHeight w:val="285" w:hRule="atLeast"/>
        </w:trPr>
        <w:tc>
          <w:tcPr>
            <w:tcW w:w="14160" w:type="dxa"/>
            <w:gridSpan w:val="20"/>
            <w:tcBorders>
              <w:top w:val="nil"/>
              <w:left w:val="nil"/>
              <w:bottom w:val="nil"/>
              <w:right w:val="nil"/>
            </w:tcBorders>
            <w:shd w:val="clear" w:color="auto" w:fill="auto"/>
            <w:vAlign w:val="center"/>
          </w:tcPr>
          <w:p>
            <w:pPr>
              <w:widowControl/>
              <w:suppressAutoHyphens w:val="0"/>
              <w:jc w:val="left"/>
              <w:rPr>
                <w:rFonts w:ascii="宋体" w:hAnsi="宋体" w:cs="宋体"/>
                <w:kern w:val="0"/>
                <w:sz w:val="18"/>
                <w:szCs w:val="18"/>
              </w:rPr>
            </w:pPr>
            <w:r>
              <w:rPr>
                <w:rFonts w:hint="eastAsia" w:ascii="宋体" w:hAnsi="宋体" w:cs="宋体"/>
                <w:kern w:val="0"/>
                <w:sz w:val="18"/>
                <w:szCs w:val="18"/>
              </w:rPr>
              <w:t>适用用户：部门用户、单位用户</w:t>
            </w:r>
          </w:p>
        </w:tc>
      </w:tr>
      <w:bookmarkEnd w:id="39"/>
    </w:tbl>
    <w:p>
      <w:pPr>
        <w:widowControl/>
        <w:suppressAutoHyphens w:val="0"/>
        <w:jc w:val="left"/>
        <w:rPr>
          <w:rFonts w:ascii="黑体" w:hAnsi="黑体" w:eastAsia="黑体"/>
          <w:sz w:val="44"/>
          <w:szCs w:val="44"/>
        </w:rPr>
        <w:sectPr>
          <w:pgSz w:w="16838" w:h="11906" w:orient="landscape"/>
          <w:pgMar w:top="1800" w:right="1440" w:bottom="1800" w:left="1440" w:header="720" w:footer="720" w:gutter="0"/>
          <w:pgNumType w:start="0"/>
          <w:cols w:space="720" w:num="1"/>
          <w:titlePg/>
          <w:docGrid w:type="lines" w:linePitch="408" w:charSpace="0"/>
        </w:sectPr>
      </w:pPr>
    </w:p>
    <w:p>
      <w:pPr>
        <w:widowControl/>
        <w:suppressAutoHyphens w:val="0"/>
        <w:jc w:val="left"/>
        <w:rPr>
          <w:rFonts w:ascii="黑体" w:hAnsi="黑体" w:eastAsia="黑体"/>
          <w:sz w:val="44"/>
          <w:szCs w:val="44"/>
        </w:rPr>
      </w:pPr>
    </w:p>
    <w:p>
      <w:pPr>
        <w:spacing w:line="600" w:lineRule="exact"/>
        <w:jc w:val="center"/>
        <w:outlineLvl w:val="0"/>
        <w:rPr>
          <w:rStyle w:val="21"/>
          <w:rFonts w:ascii="黑体" w:hAnsi="黑体" w:eastAsia="黑体"/>
          <w:b w:val="0"/>
        </w:rPr>
      </w:pPr>
      <w:r>
        <w:rPr>
          <w:rFonts w:hint="eastAsia" w:ascii="黑体" w:hAnsi="黑体" w:eastAsia="黑体"/>
          <w:sz w:val="44"/>
          <w:szCs w:val="44"/>
        </w:rPr>
        <w:t>第</w:t>
      </w:r>
      <w:r>
        <w:rPr>
          <w:rStyle w:val="21"/>
          <w:rFonts w:hint="eastAsia" w:ascii="黑体" w:hAnsi="黑体" w:eastAsia="黑体"/>
          <w:b w:val="0"/>
        </w:rPr>
        <w:t>五部分 附表</w:t>
      </w:r>
      <w:bookmarkEnd w:id="38"/>
      <w:bookmarkStart w:id="40" w:name="_Toc176870219"/>
    </w:p>
    <w:p>
      <w:pPr>
        <w:pStyle w:val="4"/>
        <w:spacing w:before="0" w:after="0" w:line="240" w:lineRule="atLeast"/>
        <w:rPr>
          <w:rStyle w:val="22"/>
          <w:rFonts w:ascii="仿宋" w:hAnsi="仿宋" w:eastAsia="仿宋"/>
          <w:b w:val="0"/>
          <w:bCs w:val="0"/>
        </w:rPr>
      </w:pPr>
      <w:r>
        <w:rPr>
          <w:rStyle w:val="22"/>
          <w:rFonts w:hint="eastAsia" w:ascii="仿宋" w:hAnsi="仿宋" w:eastAsia="仿宋"/>
          <w:b/>
          <w:bCs w:val="0"/>
        </w:rPr>
        <w:t>一、</w:t>
      </w:r>
      <w:r>
        <w:rPr>
          <w:rStyle w:val="22"/>
          <w:rFonts w:hint="eastAsia" w:ascii="仿宋" w:hAnsi="仿宋" w:eastAsia="仿宋"/>
          <w:b w:val="0"/>
          <w:bCs w:val="0"/>
        </w:rPr>
        <w:t>收入支出决算总表</w:t>
      </w:r>
      <w:bookmarkEnd w:id="40"/>
    </w:p>
    <w:p>
      <w:pPr>
        <w:pStyle w:val="4"/>
        <w:spacing w:before="0" w:after="0" w:line="240" w:lineRule="atLeast"/>
        <w:rPr>
          <w:rFonts w:ascii="仿宋" w:hAnsi="仿宋" w:eastAsia="仿宋"/>
        </w:rPr>
      </w:pPr>
      <w:bookmarkStart w:id="41" w:name="_Toc176870220"/>
      <w:r>
        <w:rPr>
          <w:rFonts w:hint="eastAsia" w:ascii="仿宋" w:hAnsi="仿宋" w:eastAsia="仿宋"/>
          <w:b w:val="0"/>
        </w:rPr>
        <w:t>二、收</w:t>
      </w:r>
      <w:r>
        <w:rPr>
          <w:rStyle w:val="22"/>
          <w:rFonts w:hint="eastAsia" w:ascii="仿宋" w:hAnsi="仿宋" w:eastAsia="仿宋"/>
          <w:b w:val="0"/>
          <w:bCs w:val="0"/>
        </w:rPr>
        <w:t>入决算表</w:t>
      </w:r>
      <w:bookmarkEnd w:id="41"/>
    </w:p>
    <w:p>
      <w:pPr>
        <w:pStyle w:val="4"/>
        <w:spacing w:before="0" w:after="0" w:line="240" w:lineRule="atLeast"/>
        <w:rPr>
          <w:rFonts w:ascii="仿宋" w:hAnsi="仿宋" w:eastAsia="仿宋"/>
        </w:rPr>
      </w:pPr>
      <w:bookmarkStart w:id="42" w:name="_Toc176870221"/>
      <w:r>
        <w:rPr>
          <w:rStyle w:val="22"/>
          <w:rFonts w:hint="eastAsia" w:ascii="仿宋" w:hAnsi="仿宋" w:eastAsia="仿宋"/>
          <w:b w:val="0"/>
          <w:bCs w:val="0"/>
        </w:rPr>
        <w:t>三、</w:t>
      </w:r>
      <w:r>
        <w:rPr>
          <w:rFonts w:hint="eastAsia" w:ascii="仿宋" w:hAnsi="仿宋" w:eastAsia="仿宋"/>
          <w:b w:val="0"/>
        </w:rPr>
        <w:t>支</w:t>
      </w:r>
      <w:r>
        <w:rPr>
          <w:rStyle w:val="22"/>
          <w:rFonts w:hint="eastAsia" w:ascii="仿宋" w:hAnsi="仿宋" w:eastAsia="仿宋"/>
          <w:b w:val="0"/>
          <w:bCs w:val="0"/>
        </w:rPr>
        <w:t>出决算表</w:t>
      </w:r>
      <w:bookmarkEnd w:id="42"/>
    </w:p>
    <w:p>
      <w:pPr>
        <w:pStyle w:val="4"/>
        <w:spacing w:before="0" w:after="0" w:line="240" w:lineRule="atLeast"/>
        <w:rPr>
          <w:rFonts w:ascii="仿宋" w:hAnsi="仿宋" w:eastAsia="仿宋"/>
          <w:b w:val="0"/>
        </w:rPr>
      </w:pPr>
      <w:bookmarkStart w:id="43" w:name="_Toc176870222"/>
      <w:r>
        <w:rPr>
          <w:rStyle w:val="22"/>
          <w:rFonts w:hint="eastAsia" w:ascii="仿宋" w:hAnsi="仿宋" w:eastAsia="仿宋"/>
          <w:b w:val="0"/>
          <w:bCs w:val="0"/>
        </w:rPr>
        <w:t>四、</w:t>
      </w:r>
      <w:r>
        <w:rPr>
          <w:rFonts w:hint="eastAsia" w:ascii="仿宋" w:hAnsi="仿宋" w:eastAsia="仿宋"/>
          <w:b w:val="0"/>
        </w:rPr>
        <w:t>财</w:t>
      </w:r>
      <w:r>
        <w:rPr>
          <w:rStyle w:val="22"/>
          <w:rFonts w:hint="eastAsia" w:ascii="仿宋" w:hAnsi="仿宋" w:eastAsia="仿宋"/>
          <w:b w:val="0"/>
          <w:bCs w:val="0"/>
        </w:rPr>
        <w:t>政拨款收入支出决算总表</w:t>
      </w:r>
      <w:bookmarkEnd w:id="43"/>
    </w:p>
    <w:p>
      <w:pPr>
        <w:pStyle w:val="4"/>
        <w:spacing w:before="0" w:after="0" w:line="240" w:lineRule="atLeast"/>
        <w:rPr>
          <w:rStyle w:val="22"/>
          <w:rFonts w:ascii="仿宋" w:hAnsi="仿宋" w:eastAsia="仿宋"/>
          <w:b w:val="0"/>
          <w:bCs w:val="0"/>
        </w:rPr>
      </w:pPr>
      <w:bookmarkStart w:id="44" w:name="_Toc176870223"/>
      <w:r>
        <w:rPr>
          <w:rStyle w:val="22"/>
          <w:rFonts w:hint="eastAsia" w:ascii="仿宋" w:hAnsi="仿宋" w:eastAsia="仿宋"/>
          <w:b w:val="0"/>
          <w:bCs w:val="0"/>
        </w:rPr>
        <w:t>五、</w:t>
      </w:r>
      <w:r>
        <w:rPr>
          <w:rFonts w:hint="eastAsia" w:ascii="仿宋" w:hAnsi="仿宋" w:eastAsia="仿宋"/>
          <w:b w:val="0"/>
        </w:rPr>
        <w:t>财</w:t>
      </w:r>
      <w:r>
        <w:rPr>
          <w:rStyle w:val="22"/>
          <w:rFonts w:hint="eastAsia" w:ascii="仿宋" w:hAnsi="仿宋" w:eastAsia="仿宋"/>
          <w:b w:val="0"/>
          <w:bCs w:val="0"/>
        </w:rPr>
        <w:t>政拨款支出决算明细表</w:t>
      </w:r>
      <w:bookmarkEnd w:id="44"/>
    </w:p>
    <w:p>
      <w:pPr>
        <w:pStyle w:val="4"/>
        <w:spacing w:before="0" w:after="0" w:line="240" w:lineRule="atLeast"/>
        <w:rPr>
          <w:rFonts w:ascii="仿宋" w:hAnsi="仿宋" w:eastAsia="仿宋"/>
        </w:rPr>
      </w:pPr>
      <w:bookmarkStart w:id="45" w:name="_Toc176870224"/>
      <w:r>
        <w:rPr>
          <w:rStyle w:val="22"/>
          <w:rFonts w:hint="eastAsia" w:ascii="仿宋" w:hAnsi="仿宋" w:eastAsia="仿宋"/>
          <w:b w:val="0"/>
          <w:bCs w:val="0"/>
        </w:rPr>
        <w:t>六、</w:t>
      </w:r>
      <w:r>
        <w:rPr>
          <w:rFonts w:hint="eastAsia" w:ascii="仿宋" w:hAnsi="仿宋" w:eastAsia="仿宋"/>
          <w:b w:val="0"/>
        </w:rPr>
        <w:t>一</w:t>
      </w:r>
      <w:r>
        <w:rPr>
          <w:rStyle w:val="22"/>
          <w:rFonts w:hint="eastAsia" w:ascii="仿宋" w:hAnsi="仿宋" w:eastAsia="仿宋"/>
          <w:b w:val="0"/>
          <w:bCs w:val="0"/>
        </w:rPr>
        <w:t>般公共预算财政拨款支出决算表</w:t>
      </w:r>
      <w:bookmarkEnd w:id="45"/>
    </w:p>
    <w:p>
      <w:pPr>
        <w:pStyle w:val="4"/>
        <w:spacing w:before="0" w:after="0" w:line="240" w:lineRule="atLeast"/>
        <w:rPr>
          <w:rFonts w:ascii="仿宋" w:hAnsi="仿宋" w:eastAsia="仿宋"/>
        </w:rPr>
      </w:pPr>
      <w:bookmarkStart w:id="46" w:name="_Toc176870225"/>
      <w:r>
        <w:rPr>
          <w:rStyle w:val="22"/>
          <w:rFonts w:hint="eastAsia" w:ascii="仿宋" w:hAnsi="仿宋" w:eastAsia="仿宋"/>
          <w:b w:val="0"/>
          <w:bCs w:val="0"/>
        </w:rPr>
        <w:t>七、</w:t>
      </w:r>
      <w:r>
        <w:rPr>
          <w:rFonts w:hint="eastAsia" w:ascii="仿宋" w:hAnsi="仿宋" w:eastAsia="仿宋"/>
          <w:b w:val="0"/>
        </w:rPr>
        <w:t>一</w:t>
      </w:r>
      <w:r>
        <w:rPr>
          <w:rStyle w:val="22"/>
          <w:rFonts w:hint="eastAsia" w:ascii="仿宋" w:hAnsi="仿宋" w:eastAsia="仿宋"/>
          <w:b w:val="0"/>
          <w:bCs w:val="0"/>
        </w:rPr>
        <w:t>般公共预算财政拨款支出决算明细表</w:t>
      </w:r>
      <w:bookmarkEnd w:id="46"/>
    </w:p>
    <w:p>
      <w:pPr>
        <w:pStyle w:val="4"/>
        <w:spacing w:before="0" w:after="0" w:line="240" w:lineRule="atLeast"/>
        <w:rPr>
          <w:rFonts w:ascii="仿宋" w:hAnsi="仿宋" w:eastAsia="仿宋"/>
        </w:rPr>
      </w:pPr>
      <w:bookmarkStart w:id="47" w:name="_Toc176870226"/>
      <w:r>
        <w:rPr>
          <w:rStyle w:val="22"/>
          <w:rFonts w:hint="eastAsia" w:ascii="仿宋" w:hAnsi="仿宋" w:eastAsia="仿宋"/>
          <w:b w:val="0"/>
          <w:bCs w:val="0"/>
        </w:rPr>
        <w:t>八、</w:t>
      </w:r>
      <w:r>
        <w:rPr>
          <w:rFonts w:hint="eastAsia" w:ascii="仿宋" w:hAnsi="仿宋" w:eastAsia="仿宋"/>
          <w:b w:val="0"/>
        </w:rPr>
        <w:t>一</w:t>
      </w:r>
      <w:r>
        <w:rPr>
          <w:rStyle w:val="22"/>
          <w:rFonts w:hint="eastAsia" w:ascii="仿宋" w:hAnsi="仿宋" w:eastAsia="仿宋"/>
          <w:b w:val="0"/>
          <w:bCs w:val="0"/>
        </w:rPr>
        <w:t>般公共预算财政拨款基本支出决算表</w:t>
      </w:r>
      <w:bookmarkEnd w:id="47"/>
    </w:p>
    <w:p>
      <w:pPr>
        <w:pStyle w:val="4"/>
        <w:spacing w:before="0" w:after="0" w:line="240" w:lineRule="atLeast"/>
        <w:rPr>
          <w:rFonts w:ascii="仿宋" w:hAnsi="仿宋" w:eastAsia="仿宋"/>
        </w:rPr>
      </w:pPr>
      <w:bookmarkStart w:id="48" w:name="_Toc176870227"/>
      <w:r>
        <w:rPr>
          <w:rStyle w:val="22"/>
          <w:rFonts w:hint="eastAsia" w:ascii="仿宋" w:hAnsi="仿宋" w:eastAsia="仿宋"/>
          <w:b w:val="0"/>
          <w:bCs w:val="0"/>
        </w:rPr>
        <w:t>九、</w:t>
      </w:r>
      <w:r>
        <w:rPr>
          <w:rFonts w:hint="eastAsia" w:ascii="仿宋" w:hAnsi="仿宋" w:eastAsia="仿宋"/>
          <w:b w:val="0"/>
        </w:rPr>
        <w:t>一</w:t>
      </w:r>
      <w:r>
        <w:rPr>
          <w:rStyle w:val="22"/>
          <w:rFonts w:hint="eastAsia" w:ascii="仿宋" w:hAnsi="仿宋" w:eastAsia="仿宋"/>
          <w:b w:val="0"/>
          <w:bCs w:val="0"/>
        </w:rPr>
        <w:t>般公共预算财政拨款项目支出决算表</w:t>
      </w:r>
      <w:bookmarkEnd w:id="48"/>
    </w:p>
    <w:p>
      <w:pPr>
        <w:pStyle w:val="4"/>
        <w:spacing w:before="0" w:after="0" w:line="240" w:lineRule="atLeast"/>
        <w:rPr>
          <w:rFonts w:ascii="仿宋" w:hAnsi="仿宋" w:eastAsia="仿宋"/>
        </w:rPr>
      </w:pPr>
      <w:bookmarkStart w:id="49" w:name="_Toc176870228"/>
      <w:r>
        <w:rPr>
          <w:rStyle w:val="22"/>
          <w:rFonts w:hint="eastAsia" w:ascii="仿宋" w:hAnsi="仿宋" w:eastAsia="仿宋"/>
          <w:b w:val="0"/>
          <w:bCs w:val="0"/>
        </w:rPr>
        <w:t>十、</w:t>
      </w:r>
      <w:r>
        <w:rPr>
          <w:rFonts w:hint="eastAsia" w:ascii="仿宋" w:hAnsi="仿宋" w:eastAsia="仿宋"/>
          <w:b w:val="0"/>
        </w:rPr>
        <w:t>政</w:t>
      </w:r>
      <w:r>
        <w:rPr>
          <w:rStyle w:val="22"/>
          <w:rFonts w:hint="eastAsia" w:ascii="仿宋" w:hAnsi="仿宋" w:eastAsia="仿宋"/>
          <w:b w:val="0"/>
          <w:bCs w:val="0"/>
        </w:rPr>
        <w:t>府性基金预算财政拨款收入支出决算表</w:t>
      </w:r>
      <w:bookmarkEnd w:id="49"/>
    </w:p>
    <w:p>
      <w:pPr>
        <w:pStyle w:val="4"/>
        <w:spacing w:before="0" w:after="0" w:line="240" w:lineRule="atLeast"/>
        <w:rPr>
          <w:rFonts w:ascii="仿宋" w:hAnsi="仿宋" w:eastAsia="仿宋"/>
        </w:rPr>
      </w:pPr>
      <w:bookmarkStart w:id="50" w:name="_Toc176870229"/>
      <w:r>
        <w:rPr>
          <w:rStyle w:val="22"/>
          <w:rFonts w:hint="eastAsia" w:ascii="仿宋" w:hAnsi="仿宋" w:eastAsia="仿宋"/>
          <w:b w:val="0"/>
          <w:bCs w:val="0"/>
        </w:rPr>
        <w:t>十一、</w:t>
      </w:r>
      <w:r>
        <w:rPr>
          <w:rFonts w:hint="eastAsia" w:ascii="仿宋" w:hAnsi="仿宋" w:eastAsia="仿宋"/>
          <w:b w:val="0"/>
        </w:rPr>
        <w:t>国</w:t>
      </w:r>
      <w:r>
        <w:rPr>
          <w:rStyle w:val="22"/>
          <w:rFonts w:hint="eastAsia" w:ascii="仿宋" w:hAnsi="仿宋" w:eastAsia="仿宋"/>
          <w:b w:val="0"/>
          <w:bCs w:val="0"/>
        </w:rPr>
        <w:t>有资本经营预算财政拨款收入支出决算表</w:t>
      </w:r>
      <w:bookmarkEnd w:id="50"/>
    </w:p>
    <w:p>
      <w:pPr>
        <w:pStyle w:val="4"/>
        <w:spacing w:before="0" w:after="0" w:line="240" w:lineRule="atLeast"/>
        <w:rPr>
          <w:rFonts w:ascii="仿宋" w:hAnsi="仿宋" w:eastAsia="仿宋"/>
        </w:rPr>
      </w:pPr>
      <w:bookmarkStart w:id="51" w:name="_Toc176870230"/>
      <w:r>
        <w:rPr>
          <w:rStyle w:val="22"/>
          <w:rFonts w:hint="eastAsia" w:ascii="仿宋" w:hAnsi="仿宋" w:eastAsia="仿宋"/>
          <w:b w:val="0"/>
          <w:bCs w:val="0"/>
        </w:rPr>
        <w:t>十二、国有资本经营预算财政拨款支出决算表</w:t>
      </w:r>
      <w:bookmarkEnd w:id="51"/>
    </w:p>
    <w:p>
      <w:pPr>
        <w:pStyle w:val="4"/>
        <w:spacing w:before="0" w:after="0" w:line="240" w:lineRule="atLeast"/>
        <w:rPr>
          <w:rFonts w:eastAsia="仿宋"/>
        </w:rPr>
      </w:pPr>
      <w:bookmarkStart w:id="52" w:name="_Toc176870231"/>
      <w:r>
        <w:rPr>
          <w:rStyle w:val="22"/>
          <w:rFonts w:hint="eastAsia" w:ascii="仿宋" w:hAnsi="仿宋" w:eastAsia="仿宋"/>
          <w:b w:val="0"/>
          <w:bCs w:val="0"/>
        </w:rPr>
        <w:t>十三、财政拨款“三公”经费支出决算表</w:t>
      </w:r>
      <w:bookmarkEnd w:id="52"/>
    </w:p>
    <w:p/>
    <w:sectPr>
      <w:pgSz w:w="11906" w:h="16838"/>
      <w:pgMar w:top="1440" w:right="1800" w:bottom="1440" w:left="1800" w:header="720" w:footer="720" w:gutter="0"/>
      <w:pgNumType w:start="0"/>
      <w:cols w:space="720"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066993"/>
      <w:docPartObj>
        <w:docPartGallery w:val="AutoText"/>
      </w:docPartObj>
    </w:sdtPr>
    <w:sdtContent>
      <w:p>
        <w:pPr>
          <w:pStyle w:val="11"/>
          <w:jc w:val="center"/>
        </w:pPr>
        <w:r>
          <w:fldChar w:fldCharType="begin"/>
        </w:r>
        <w:r>
          <w:instrText xml:space="preserve">PAGE   \* MERGEFORMAT</w:instrText>
        </w:r>
        <w:r>
          <w:fldChar w:fldCharType="separate"/>
        </w:r>
        <w:r>
          <w:rPr>
            <w:lang w:val="zh-CN"/>
          </w:rPr>
          <w:t>42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DhiMzZlNTRlZWQ5MmMzZTI0MDQ4NmZmZjIwZjkifQ=="/>
  </w:docVars>
  <w:rsids>
    <w:rsidRoot w:val="00005BE7"/>
    <w:rsid w:val="00002640"/>
    <w:rsid w:val="00005BE7"/>
    <w:rsid w:val="000446F5"/>
    <w:rsid w:val="000533B3"/>
    <w:rsid w:val="00057EA6"/>
    <w:rsid w:val="001341E3"/>
    <w:rsid w:val="00135A27"/>
    <w:rsid w:val="0013620A"/>
    <w:rsid w:val="00180638"/>
    <w:rsid w:val="0019220B"/>
    <w:rsid w:val="001A5A8F"/>
    <w:rsid w:val="001B0356"/>
    <w:rsid w:val="001E6E94"/>
    <w:rsid w:val="00215E4A"/>
    <w:rsid w:val="002419AE"/>
    <w:rsid w:val="00255767"/>
    <w:rsid w:val="00280E2B"/>
    <w:rsid w:val="00285819"/>
    <w:rsid w:val="002A205F"/>
    <w:rsid w:val="002C69CF"/>
    <w:rsid w:val="002F37D6"/>
    <w:rsid w:val="002F4D3A"/>
    <w:rsid w:val="002F6480"/>
    <w:rsid w:val="00314A98"/>
    <w:rsid w:val="003227AE"/>
    <w:rsid w:val="003234BE"/>
    <w:rsid w:val="00325AAF"/>
    <w:rsid w:val="003545BD"/>
    <w:rsid w:val="0039272D"/>
    <w:rsid w:val="003A38E4"/>
    <w:rsid w:val="003C7C2F"/>
    <w:rsid w:val="003E26AE"/>
    <w:rsid w:val="003E62F6"/>
    <w:rsid w:val="00401890"/>
    <w:rsid w:val="004162A5"/>
    <w:rsid w:val="0043723E"/>
    <w:rsid w:val="00445E6C"/>
    <w:rsid w:val="0047375A"/>
    <w:rsid w:val="00483CD5"/>
    <w:rsid w:val="004A14ED"/>
    <w:rsid w:val="004A2BF0"/>
    <w:rsid w:val="004E6582"/>
    <w:rsid w:val="00505BEE"/>
    <w:rsid w:val="00531F92"/>
    <w:rsid w:val="00547DB7"/>
    <w:rsid w:val="00551C96"/>
    <w:rsid w:val="00557FAC"/>
    <w:rsid w:val="005922E6"/>
    <w:rsid w:val="005E2102"/>
    <w:rsid w:val="00647BED"/>
    <w:rsid w:val="00652F52"/>
    <w:rsid w:val="0068773F"/>
    <w:rsid w:val="006B16B7"/>
    <w:rsid w:val="0072074D"/>
    <w:rsid w:val="00785503"/>
    <w:rsid w:val="007B1717"/>
    <w:rsid w:val="007C6223"/>
    <w:rsid w:val="008040FB"/>
    <w:rsid w:val="00806D56"/>
    <w:rsid w:val="00825D41"/>
    <w:rsid w:val="00836AC0"/>
    <w:rsid w:val="00840CB6"/>
    <w:rsid w:val="0086232E"/>
    <w:rsid w:val="00894AD2"/>
    <w:rsid w:val="008A53E7"/>
    <w:rsid w:val="008B6B23"/>
    <w:rsid w:val="008C3CE9"/>
    <w:rsid w:val="008E6C5B"/>
    <w:rsid w:val="008F4FD3"/>
    <w:rsid w:val="00924D5E"/>
    <w:rsid w:val="0094644A"/>
    <w:rsid w:val="009575CE"/>
    <w:rsid w:val="009651E3"/>
    <w:rsid w:val="009939FE"/>
    <w:rsid w:val="00A115B4"/>
    <w:rsid w:val="00A45E17"/>
    <w:rsid w:val="00AB4C46"/>
    <w:rsid w:val="00AB6960"/>
    <w:rsid w:val="00AE1C35"/>
    <w:rsid w:val="00B20B6F"/>
    <w:rsid w:val="00B23AAB"/>
    <w:rsid w:val="00B52F33"/>
    <w:rsid w:val="00B53656"/>
    <w:rsid w:val="00B5626D"/>
    <w:rsid w:val="00B63998"/>
    <w:rsid w:val="00B7763D"/>
    <w:rsid w:val="00BB650E"/>
    <w:rsid w:val="00BE106F"/>
    <w:rsid w:val="00BF2AF7"/>
    <w:rsid w:val="00C217A2"/>
    <w:rsid w:val="00C34898"/>
    <w:rsid w:val="00CD0B62"/>
    <w:rsid w:val="00CD52CE"/>
    <w:rsid w:val="00D1776E"/>
    <w:rsid w:val="00D35F17"/>
    <w:rsid w:val="00D55773"/>
    <w:rsid w:val="00D639C5"/>
    <w:rsid w:val="00D6442E"/>
    <w:rsid w:val="00D71B09"/>
    <w:rsid w:val="00D74CF7"/>
    <w:rsid w:val="00DA1B55"/>
    <w:rsid w:val="00DB46E7"/>
    <w:rsid w:val="00DB7C98"/>
    <w:rsid w:val="00DC3F3E"/>
    <w:rsid w:val="00E327BC"/>
    <w:rsid w:val="00E34366"/>
    <w:rsid w:val="00E84E22"/>
    <w:rsid w:val="00EA35FD"/>
    <w:rsid w:val="00EB7D02"/>
    <w:rsid w:val="00EE3E73"/>
    <w:rsid w:val="00EF5FCB"/>
    <w:rsid w:val="00F055ED"/>
    <w:rsid w:val="00F20CBB"/>
    <w:rsid w:val="00F5194D"/>
    <w:rsid w:val="00F93285"/>
    <w:rsid w:val="00FA17C8"/>
    <w:rsid w:val="00FC6CA5"/>
    <w:rsid w:val="00FD2AE1"/>
    <w:rsid w:val="00FF0CCB"/>
    <w:rsid w:val="265F711D"/>
    <w:rsid w:val="799C1D43"/>
    <w:rsid w:val="7A480FEA"/>
    <w:rsid w:val="7BFFE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30"/>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99"/>
  </w:style>
  <w:style w:type="paragraph" w:styleId="5">
    <w:name w:val="caption"/>
    <w:basedOn w:val="1"/>
    <w:next w:val="1"/>
    <w:qFormat/>
    <w:uiPriority w:val="0"/>
    <w:pPr>
      <w:suppressLineNumbers/>
      <w:spacing w:before="120" w:after="120"/>
    </w:pPr>
    <w:rPr>
      <w:i/>
      <w:iCs/>
      <w:sz w:val="24"/>
    </w:rPr>
  </w:style>
  <w:style w:type="paragraph" w:styleId="6">
    <w:name w:val="Body Text"/>
    <w:basedOn w:val="1"/>
    <w:qFormat/>
    <w:uiPriority w:val="0"/>
    <w:pPr>
      <w:spacing w:after="140" w:line="276" w:lineRule="auto"/>
    </w:p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iPriority w:val="39"/>
    <w:pPr>
      <w:ind w:left="840" w:leftChars="400"/>
    </w:pPr>
  </w:style>
  <w:style w:type="paragraph" w:styleId="10">
    <w:name w:val="Balloon Text"/>
    <w:basedOn w:val="1"/>
    <w:link w:val="30"/>
    <w:uiPriority w:val="0"/>
    <w:rPr>
      <w:sz w:val="18"/>
      <w:szCs w:val="18"/>
    </w:rPr>
  </w:style>
  <w:style w:type="paragraph" w:styleId="11">
    <w:name w:val="footer"/>
    <w:basedOn w:val="1"/>
    <w:link w:val="23"/>
    <w:uiPriority w:val="99"/>
    <w:pPr>
      <w:tabs>
        <w:tab w:val="center" w:pos="4153"/>
        <w:tab w:val="right" w:pos="8306"/>
      </w:tabs>
      <w:snapToGrid w:val="0"/>
      <w:jc w:val="left"/>
    </w:pPr>
    <w:rPr>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List"/>
    <w:basedOn w:val="6"/>
    <w:uiPriority w:val="0"/>
  </w:style>
  <w:style w:type="paragraph" w:styleId="15">
    <w:name w:val="footnote text"/>
    <w:basedOn w:val="1"/>
    <w:next w:val="8"/>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character" w:styleId="19">
    <w:name w:val="Strong"/>
    <w:qFormat/>
    <w:uiPriority w:val="99"/>
    <w:rPr>
      <w:b/>
    </w:rPr>
  </w:style>
  <w:style w:type="character" w:styleId="20">
    <w:name w:val="Hyperlink"/>
    <w:basedOn w:val="18"/>
    <w:unhideWhenUsed/>
    <w:uiPriority w:val="99"/>
    <w:rPr>
      <w:color w:val="0000FF" w:themeColor="hyperlink"/>
      <w:u w:val="single"/>
      <w14:textFill>
        <w14:solidFill>
          <w14:schemeClr w14:val="hlink"/>
        </w14:solidFill>
      </w14:textFill>
    </w:rPr>
  </w:style>
  <w:style w:type="character" w:customStyle="1" w:styleId="21">
    <w:name w:val="标题 1 Char"/>
    <w:link w:val="3"/>
    <w:qFormat/>
    <w:uiPriority w:val="9"/>
    <w:rPr>
      <w:b/>
      <w:bCs/>
      <w:kern w:val="44"/>
      <w:sz w:val="44"/>
      <w:szCs w:val="44"/>
    </w:rPr>
  </w:style>
  <w:style w:type="character" w:customStyle="1" w:styleId="22">
    <w:name w:val="标题 2 Char"/>
    <w:link w:val="4"/>
    <w:qFormat/>
    <w:uiPriority w:val="9"/>
    <w:rPr>
      <w:rFonts w:ascii="Cambria" w:hAnsi="Cambria" w:eastAsia="宋体" w:cs="Times New Roman"/>
      <w:b/>
      <w:bCs/>
      <w:sz w:val="32"/>
      <w:szCs w:val="32"/>
    </w:rPr>
  </w:style>
  <w:style w:type="character" w:customStyle="1" w:styleId="23">
    <w:name w:val="页脚 Char"/>
    <w:link w:val="11"/>
    <w:uiPriority w:val="99"/>
    <w:rPr>
      <w:rFonts w:ascii="Calibri" w:hAnsi="Calibri"/>
      <w:kern w:val="2"/>
      <w:sz w:val="18"/>
      <w:szCs w:val="18"/>
    </w:rPr>
  </w:style>
  <w:style w:type="character" w:customStyle="1" w:styleId="24">
    <w:name w:val="页眉 Char"/>
    <w:link w:val="12"/>
    <w:uiPriority w:val="0"/>
    <w:rPr>
      <w:rFonts w:ascii="Calibri" w:hAnsi="Calibri"/>
      <w:kern w:val="2"/>
      <w:sz w:val="18"/>
      <w:szCs w:val="18"/>
    </w:rPr>
  </w:style>
  <w:style w:type="character" w:customStyle="1" w:styleId="25">
    <w:name w:val="默认段落字体1"/>
    <w:uiPriority w:val="0"/>
  </w:style>
  <w:style w:type="paragraph" w:customStyle="1" w:styleId="26">
    <w:name w:val="Heading"/>
    <w:basedOn w:val="1"/>
    <w:next w:val="6"/>
    <w:uiPriority w:val="0"/>
    <w:pPr>
      <w:keepNext/>
      <w:spacing w:before="240" w:after="120"/>
    </w:pPr>
    <w:rPr>
      <w:rFonts w:ascii="Liberation Sans" w:hAnsi="Liberation Sans" w:eastAsia="Noto Sans CJK SC Regular" w:cs="Noto Sans CJK SC Regular"/>
      <w:sz w:val="28"/>
      <w:szCs w:val="28"/>
    </w:rPr>
  </w:style>
  <w:style w:type="paragraph" w:customStyle="1" w:styleId="27">
    <w:name w:val="Index"/>
    <w:basedOn w:val="1"/>
    <w:uiPriority w:val="0"/>
    <w:pPr>
      <w:suppressLineNumbers/>
    </w:p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0">
    <w:name w:val="批注框文本 Char"/>
    <w:basedOn w:val="18"/>
    <w:link w:val="10"/>
    <w:uiPriority w:val="0"/>
    <w:rPr>
      <w:rFonts w:ascii="Calibri" w:hAnsi="Calibri"/>
      <w:kern w:val="2"/>
      <w:sz w:val="18"/>
      <w:szCs w:val="18"/>
    </w:rPr>
  </w:style>
  <w:style w:type="paragraph" w:customStyle="1" w:styleId="31">
    <w:name w:val="TOC Heading"/>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0" i="0" baseline="0">
                <a:effectLst/>
              </a:rPr>
              <a:t>收、支决算总计变动图</a:t>
            </a:r>
            <a:endParaRPr lang="zh-CN" altLang="zh-CN">
              <a:effectLst/>
            </a:endParaRPr>
          </a:p>
        </c:rich>
      </c:tx>
      <c:layout/>
      <c:overlay val="0"/>
    </c:title>
    <c:autoTitleDeleted val="0"/>
    <c:plotArea>
      <c:layout/>
      <c:barChart>
        <c:barDir val="col"/>
        <c:grouping val="clustered"/>
        <c:varyColors val="0"/>
        <c:ser>
          <c:idx val="0"/>
          <c:order val="0"/>
          <c:tx>
            <c:strRef>
              <c:f>Sheet1!$B$1</c:f>
              <c:strCache>
                <c:ptCount val="1"/>
                <c:pt idx="0">
                  <c:v>收支情况</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623.01</c:v>
                </c:pt>
                <c:pt idx="1">
                  <c:v>627.39</c:v>
                </c:pt>
              </c:numCache>
            </c:numRef>
          </c:val>
        </c:ser>
        <c:dLbls>
          <c:showLegendKey val="0"/>
          <c:showVal val="1"/>
          <c:showCatName val="0"/>
          <c:showSerName val="0"/>
          <c:showPercent val="0"/>
          <c:showBubbleSize val="0"/>
        </c:dLbls>
        <c:gapWidth val="150"/>
        <c:axId val="232309888"/>
        <c:axId val="232311424"/>
      </c:barChart>
      <c:catAx>
        <c:axId val="2323098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311424"/>
        <c:crosses val="autoZero"/>
        <c:auto val="1"/>
        <c:lblAlgn val="ctr"/>
        <c:lblOffset val="100"/>
        <c:noMultiLvlLbl val="0"/>
      </c:catAx>
      <c:valAx>
        <c:axId val="232311424"/>
        <c:scaling>
          <c:orientation val="minMax"/>
          <c:max val="700"/>
          <c:min val="0"/>
        </c:scaling>
        <c:delete val="0"/>
        <c:axPos val="l"/>
        <c:majorGridlines>
          <c:spPr>
            <a:ln w="9525" cap="flat" cmpd="sng" algn="ctr">
              <a:gradFill>
                <a:gsLst>
                  <a:gs pos="0">
                    <a:schemeClr val="accent1">
                      <a:tint val="66000"/>
                      <a:satMod val="160000"/>
                    </a:schemeClr>
                  </a:gs>
                  <a:gs pos="24000">
                    <a:schemeClr val="accent1">
                      <a:tint val="44500"/>
                      <a:satMod val="160000"/>
                    </a:schemeClr>
                  </a:gs>
                  <a:gs pos="100000">
                    <a:schemeClr val="accent1">
                      <a:tint val="23500"/>
                      <a:satMod val="160000"/>
                    </a:schemeClr>
                  </a:gs>
                </a:gsLst>
                <a:lin ang="5400000" scaled="0"/>
              </a:gra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309888"/>
        <c:crosses val="autoZero"/>
        <c:crossBetween val="between"/>
        <c:majorUnit val="100"/>
      </c:valAx>
    </c:plotArea>
    <c:legend>
      <c:legendPos val="t"/>
      <c:layout>
        <c:manualLayout>
          <c:xMode val="edge"/>
          <c:yMode val="edge"/>
          <c:x val="0.038891194557359"/>
          <c:y val="0.158513931888545"/>
          <c:w val="0.234265064235392"/>
          <c:h val="0.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b="0"/>
              <a:t>收入决算结构图</a:t>
            </a:r>
            <a:endParaRPr lang="zh-CN" b="0"/>
          </a:p>
        </c:rich>
      </c:tx>
      <c:layout/>
      <c:overlay val="0"/>
    </c:title>
    <c:autoTitleDeleted val="0"/>
    <c:plotArea>
      <c:layout/>
      <c:pieChart>
        <c:varyColors val="1"/>
        <c:ser>
          <c:idx val="0"/>
          <c:order val="0"/>
          <c:tx>
            <c:strRef>
              <c:f>Sheet1!$B$1</c:f>
              <c:strCache>
                <c:ptCount val="1"/>
                <c:pt idx="0">
                  <c:v>收入决算情况</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58%</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42%</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323.2</c:v>
                </c:pt>
                <c:pt idx="1">
                  <c:v>299.81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支出决算情况</a:t>
            </a:r>
            <a:endParaRPr lang="zh-CN" altLang="en-US" b="0"/>
          </a:p>
        </c:rich>
      </c:tx>
      <c:layout/>
      <c:overlay val="0"/>
    </c:title>
    <c:autoTitleDeleted val="0"/>
    <c:plotArea>
      <c:layout/>
      <c:pieChart>
        <c:varyColors val="1"/>
        <c:ser>
          <c:idx val="0"/>
          <c:order val="0"/>
          <c:tx>
            <c:strRef>
              <c:f>Sheet1!$B$1</c:f>
              <c:strCache>
                <c:ptCount val="1"/>
                <c:pt idx="0">
                  <c:v>支出决算情况</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312.51</c:v>
                </c:pt>
                <c:pt idx="1">
                  <c:v>314.88</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0" i="0" u="none" strike="noStrike" baseline="0">
                <a:effectLst/>
              </a:rPr>
              <a:t>财政拨款收、支决算总计变动情况</a:t>
            </a:r>
            <a:r>
              <a:rPr lang="zh-CN" altLang="en-US" sz="1800" b="0" i="0" u="none" strike="noStrike" baseline="0">
                <a:effectLst/>
              </a:rPr>
              <a:t>表</a:t>
            </a:r>
            <a:endParaRPr lang="zh-CN" altLang="en-US" b="0"/>
          </a:p>
        </c:rich>
      </c:tx>
      <c:layout/>
      <c:overlay val="0"/>
    </c:title>
    <c:autoTitleDeleted val="0"/>
    <c:plotArea>
      <c:layout/>
      <c:barChart>
        <c:barDir val="col"/>
        <c:grouping val="clustered"/>
        <c:varyColors val="0"/>
        <c:ser>
          <c:idx val="0"/>
          <c:order val="0"/>
          <c:tx>
            <c:strRef>
              <c:f>Sheet1!$B$1</c:f>
              <c:strCache>
                <c:ptCount val="1"/>
                <c:pt idx="0">
                  <c:v>财政拨款收入支出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Sheet1!$B$2:$B$3</c:f>
              <c:numCache>
                <c:formatCode>General</c:formatCode>
                <c:ptCount val="2"/>
                <c:pt idx="0">
                  <c:v>623.01</c:v>
                </c:pt>
                <c:pt idx="1">
                  <c:v>627.39</c:v>
                </c:pt>
              </c:numCache>
            </c:numRef>
          </c:val>
        </c:ser>
        <c:dLbls>
          <c:showLegendKey val="0"/>
          <c:showVal val="0"/>
          <c:showCatName val="0"/>
          <c:showSerName val="0"/>
          <c:showPercent val="0"/>
          <c:showBubbleSize val="0"/>
        </c:dLbls>
        <c:gapWidth val="150"/>
        <c:axId val="261817472"/>
        <c:axId val="261819008"/>
      </c:barChart>
      <c:catAx>
        <c:axId val="2618174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819008"/>
        <c:crosses val="autoZero"/>
        <c:auto val="1"/>
        <c:lblAlgn val="ctr"/>
        <c:lblOffset val="100"/>
        <c:noMultiLvlLbl val="0"/>
      </c:catAx>
      <c:valAx>
        <c:axId val="261819008"/>
        <c:scaling>
          <c:orientation val="minMax"/>
          <c:max val="700"/>
          <c:min val="100"/>
        </c:scaling>
        <c:delete val="0"/>
        <c:axPos val="l"/>
        <c:majorGridlines>
          <c:spPr>
            <a:ln w="9525" cap="flat" cmpd="sng" algn="ctr">
              <a:gradFill>
                <a:gsLst>
                  <a:gs pos="0">
                    <a:schemeClr val="accent1">
                      <a:tint val="66000"/>
                      <a:satMod val="160000"/>
                    </a:schemeClr>
                  </a:gs>
                  <a:gs pos="19000">
                    <a:schemeClr val="accent1">
                      <a:tint val="44500"/>
                      <a:satMod val="160000"/>
                    </a:schemeClr>
                  </a:gs>
                  <a:gs pos="100000">
                    <a:schemeClr val="accent1">
                      <a:tint val="23500"/>
                      <a:satMod val="160000"/>
                    </a:schemeClr>
                  </a:gs>
                </a:gsLst>
                <a:lin ang="5400000" scaled="0"/>
              </a:gra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817472"/>
        <c:crosses val="autoZero"/>
        <c:crossBetween val="between"/>
        <c:majorUnit val="100"/>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一般公共预算财政拨款支出决算</a:t>
            </a:r>
            <a:r>
              <a:rPr lang="zh-CN" altLang="en-US" sz="1800" b="1" i="0" u="none" strike="noStrike" baseline="0">
                <a:effectLst/>
              </a:rPr>
              <a:t>总体</a:t>
            </a:r>
            <a:r>
              <a:rPr lang="zh-CN" altLang="zh-CN" sz="1800" b="1" i="0" u="none" strike="noStrike" baseline="0">
                <a:effectLst/>
              </a:rPr>
              <a:t>情况</a:t>
            </a:r>
            <a:r>
              <a:rPr lang="zh-CN" altLang="en-US" sz="1800" b="1" i="0" u="none" strike="noStrike" baseline="0">
                <a:effectLst/>
              </a:rPr>
              <a:t>表</a:t>
            </a:r>
            <a:endParaRPr lang="zh-CN" altLang="en-US"/>
          </a:p>
        </c:rich>
      </c:tx>
      <c:layout/>
      <c:overlay val="0"/>
    </c:title>
    <c:autoTitleDeleted val="0"/>
    <c:plotArea>
      <c:layout/>
      <c:barChart>
        <c:barDir val="col"/>
        <c:grouping val="clustered"/>
        <c:varyColors val="0"/>
        <c:ser>
          <c:idx val="0"/>
          <c:order val="0"/>
          <c:tx>
            <c:strRef>
              <c:f>Sheet1!$B$1</c:f>
              <c:strCache>
                <c:ptCount val="1"/>
                <c:pt idx="0">
                  <c:v>财政拨款收入支出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Sheet1!$B$2:$B$3</c:f>
              <c:numCache>
                <c:formatCode>General</c:formatCode>
                <c:ptCount val="2"/>
                <c:pt idx="0">
                  <c:v>323.22</c:v>
                </c:pt>
                <c:pt idx="1">
                  <c:v>366.13</c:v>
                </c:pt>
              </c:numCache>
            </c:numRef>
          </c:val>
        </c:ser>
        <c:dLbls>
          <c:showLegendKey val="0"/>
          <c:showVal val="0"/>
          <c:showCatName val="0"/>
          <c:showSerName val="0"/>
          <c:showPercent val="0"/>
          <c:showBubbleSize val="0"/>
        </c:dLbls>
        <c:gapWidth val="150"/>
        <c:axId val="261843968"/>
        <c:axId val="261849856"/>
      </c:barChart>
      <c:catAx>
        <c:axId val="2618439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849856"/>
        <c:crosses val="autoZero"/>
        <c:auto val="1"/>
        <c:lblAlgn val="ctr"/>
        <c:lblOffset val="100"/>
        <c:noMultiLvlLbl val="0"/>
      </c:catAx>
      <c:valAx>
        <c:axId val="261849856"/>
        <c:scaling>
          <c:orientation val="minMax"/>
          <c:max val="500"/>
          <c:min val="100"/>
        </c:scaling>
        <c:delete val="0"/>
        <c:axPos val="l"/>
        <c:majorGridlines>
          <c:spPr>
            <a:ln w="9525" cap="flat" cmpd="sng" algn="ctr">
              <a:gradFill>
                <a:gsLst>
                  <a:gs pos="0">
                    <a:schemeClr val="accent1">
                      <a:tint val="66000"/>
                      <a:satMod val="160000"/>
                    </a:schemeClr>
                  </a:gs>
                  <a:gs pos="11000">
                    <a:schemeClr val="accent1">
                      <a:tint val="44500"/>
                      <a:satMod val="160000"/>
                    </a:schemeClr>
                  </a:gs>
                  <a:gs pos="100000">
                    <a:schemeClr val="accent1">
                      <a:tint val="23500"/>
                      <a:satMod val="160000"/>
                    </a:schemeClr>
                  </a:gs>
                </a:gsLst>
                <a:lin ang="5400000" scaled="0"/>
              </a:gra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843968"/>
        <c:crosses val="autoZero"/>
        <c:crossBetween val="between"/>
        <c:majorUnit val="5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一般公共预算财政拨款支出决算结构情况表</a:t>
            </a:r>
            <a:r>
              <a:rPr lang="zh-CN" altLang="en-US" sz="1600" b="0"/>
              <a:t>
</a:t>
            </a:r>
            <a:endParaRPr lang="zh-CN" altLang="en-US" sz="1600" b="0"/>
          </a:p>
        </c:rich>
      </c:tx>
      <c:layout/>
      <c:overlay val="0"/>
    </c:title>
    <c:autoTitleDeleted val="0"/>
    <c:plotArea>
      <c:layout/>
      <c:pieChart>
        <c:varyColors val="1"/>
        <c:ser>
          <c:idx val="0"/>
          <c:order val="0"/>
          <c:tx>
            <c:strRef>
              <c:f>Sheet1!$B$1</c:f>
              <c:strCache>
                <c:ptCount val="1"/>
                <c:pt idx="0">
                  <c:v>销售额一般公共预算财政拨款支出决算结构情况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社会保障和就业支出度</c:v>
                </c:pt>
                <c:pt idx="1">
                  <c:v>卫生健康支出</c:v>
                </c:pt>
                <c:pt idx="2">
                  <c:v>住房保障支出</c:v>
                </c:pt>
                <c:pt idx="3">
                  <c:v>城乡社区支出</c:v>
                </c:pt>
                <c:pt idx="4">
                  <c:v>农林水支出</c:v>
                </c:pt>
                <c:pt idx="5">
                  <c:v>自然资源海洋气象支出</c:v>
                </c:pt>
              </c:strCache>
            </c:strRef>
          </c:cat>
          <c:val>
            <c:numRef>
              <c:f>Sheet1!$B$2:$B$7</c:f>
              <c:numCache>
                <c:formatCode>General</c:formatCode>
                <c:ptCount val="6"/>
                <c:pt idx="0">
                  <c:v>35.17</c:v>
                </c:pt>
                <c:pt idx="1">
                  <c:v>10.03</c:v>
                </c:pt>
                <c:pt idx="2">
                  <c:v>25</c:v>
                </c:pt>
                <c:pt idx="3">
                  <c:v>52.12</c:v>
                </c:pt>
                <c:pt idx="4">
                  <c:v>1.5</c:v>
                </c:pt>
                <c:pt idx="5">
                  <c:v>242.31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D5696-255E-4F26-B743-FE21A595B41B}">
  <ds:schemaRefs/>
</ds:datastoreItem>
</file>

<file path=docProps/app.xml><?xml version="1.0" encoding="utf-8"?>
<Properties xmlns="http://schemas.openxmlformats.org/officeDocument/2006/extended-properties" xmlns:vt="http://schemas.openxmlformats.org/officeDocument/2006/docPropsVTypes">
  <Template>Normal</Template>
  <Pages>66</Pages>
  <Words>21287</Words>
  <Characters>9726</Characters>
  <Lines>81</Lines>
  <Paragraphs>61</Paragraphs>
  <TotalTime>188</TotalTime>
  <ScaleCrop>false</ScaleCrop>
  <LinksUpToDate>false</LinksUpToDate>
  <CharactersWithSpaces>30952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2024-09-10T01:50:00Z</dcterms:created>
  <dc:creator>user</dc:creator>
  <cp:lastModifiedBy>Administrator</cp:lastModifiedBy>
  <cp:lastPrinted>2024-09-10T08:32:00Z</cp:lastPrinted>
  <dcterms:modified xsi:type="dcterms:W3CDTF">2024-09-12T01:49:48Z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CF9D8ACFB44F43969D39A909EB7D96B4_12</vt:lpwstr>
  </property>
</Properties>
</file>