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FEF4B3">
      <w:pPr>
        <w:spacing w:line="600" w:lineRule="exact"/>
        <w:jc w:val="center"/>
        <w:outlineLvl w:val="0"/>
        <w:rPr>
          <w:rFonts w:hint="eastAsia" w:ascii="方正小标宋简体" w:hAnsi="宋体" w:eastAsia="方正小标宋简体"/>
          <w:sz w:val="72"/>
          <w:szCs w:val="72"/>
        </w:rPr>
      </w:pPr>
      <w:bookmarkStart w:id="0" w:name="_Toc15396475"/>
      <w:bookmarkStart w:id="1" w:name="_Toc15377425"/>
      <w:bookmarkStart w:id="2" w:name="_Toc15396597"/>
      <w:bookmarkStart w:id="3" w:name="_Toc15378441"/>
      <w:bookmarkStart w:id="4" w:name="_Toc15377193"/>
      <w:bookmarkStart w:id="5" w:name="_Toc15306267"/>
    </w:p>
    <w:p w14:paraId="4D37CB94">
      <w:pPr>
        <w:spacing w:line="600" w:lineRule="exact"/>
        <w:jc w:val="center"/>
        <w:outlineLvl w:val="0"/>
        <w:rPr>
          <w:rFonts w:ascii="方正小标宋简体" w:hAnsi="宋体" w:eastAsia="方正小标宋简体"/>
          <w:sz w:val="72"/>
          <w:szCs w:val="72"/>
        </w:rPr>
      </w:pPr>
    </w:p>
    <w:p w14:paraId="1F61872A">
      <w:pPr>
        <w:spacing w:line="600" w:lineRule="exact"/>
        <w:jc w:val="center"/>
        <w:outlineLvl w:val="0"/>
        <w:rPr>
          <w:rFonts w:ascii="方正小标宋简体" w:hAnsi="宋体" w:eastAsia="方正小标宋简体"/>
          <w:sz w:val="72"/>
          <w:szCs w:val="72"/>
        </w:rPr>
      </w:pPr>
    </w:p>
    <w:p w14:paraId="6B8E4465">
      <w:pPr>
        <w:keepNext w:val="0"/>
        <w:keepLines w:val="0"/>
        <w:pageBreakBefore w:val="0"/>
        <w:widowControl w:val="0"/>
        <w:kinsoku/>
        <w:wordWrap/>
        <w:overflowPunct/>
        <w:topLinePunct w:val="0"/>
        <w:autoSpaceDE/>
        <w:autoSpaceDN/>
        <w:bidi w:val="0"/>
        <w:adjustRightInd w:val="0"/>
        <w:snapToGrid w:val="0"/>
        <w:spacing w:line="1000" w:lineRule="exact"/>
        <w:jc w:val="center"/>
        <w:textAlignment w:val="auto"/>
        <w:outlineLvl w:val="0"/>
        <w:rPr>
          <w:rFonts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202</w:t>
      </w:r>
      <w:r>
        <w:rPr>
          <w:rFonts w:hint="eastAsia" w:ascii="方正小标宋简体" w:hAnsi="方正小标宋简体" w:eastAsia="方正小标宋简体" w:cs="方正小标宋简体"/>
          <w:sz w:val="52"/>
          <w:szCs w:val="52"/>
          <w:lang w:val="en-US" w:eastAsia="zh-CN"/>
        </w:rPr>
        <w:t>3</w:t>
      </w:r>
      <w:r>
        <w:rPr>
          <w:rFonts w:hint="eastAsia" w:ascii="方正小标宋简体" w:hAnsi="方正小标宋简体" w:eastAsia="方正小标宋简体" w:cs="方正小标宋简体"/>
          <w:sz w:val="52"/>
          <w:szCs w:val="52"/>
        </w:rPr>
        <w:t>年度</w:t>
      </w:r>
      <w:bookmarkEnd w:id="0"/>
      <w:bookmarkEnd w:id="1"/>
      <w:bookmarkEnd w:id="2"/>
      <w:bookmarkEnd w:id="3"/>
      <w:bookmarkEnd w:id="4"/>
    </w:p>
    <w:p w14:paraId="6E499644">
      <w:pPr>
        <w:keepNext w:val="0"/>
        <w:keepLines w:val="0"/>
        <w:pageBreakBefore w:val="0"/>
        <w:widowControl w:val="0"/>
        <w:kinsoku/>
        <w:wordWrap/>
        <w:overflowPunct/>
        <w:topLinePunct w:val="0"/>
        <w:autoSpaceDE/>
        <w:autoSpaceDN/>
        <w:bidi w:val="0"/>
        <w:adjustRightInd w:val="0"/>
        <w:snapToGrid w:val="0"/>
        <w:spacing w:line="1000" w:lineRule="exact"/>
        <w:jc w:val="center"/>
        <w:textAlignment w:val="auto"/>
        <w:outlineLvl w:val="0"/>
        <w:rPr>
          <w:rFonts w:ascii="方正小标宋简体" w:hAnsi="方正小标宋简体" w:eastAsia="方正小标宋简体" w:cs="方正小标宋简体"/>
          <w:sz w:val="52"/>
          <w:szCs w:val="52"/>
        </w:rPr>
      </w:pPr>
      <w:bookmarkStart w:id="6" w:name="_Toc15396476"/>
      <w:bookmarkStart w:id="7" w:name="_Toc15377194"/>
      <w:bookmarkStart w:id="8" w:name="_Toc15378442"/>
      <w:bookmarkStart w:id="9" w:name="_Toc15377426"/>
      <w:bookmarkStart w:id="10" w:name="_Toc15396598"/>
      <w:r>
        <w:rPr>
          <w:rFonts w:hint="eastAsia" w:ascii="方正小标宋简体" w:hAnsi="方正小标宋简体" w:eastAsia="方正小标宋简体" w:cs="方正小标宋简体"/>
          <w:sz w:val="52"/>
          <w:szCs w:val="52"/>
        </w:rPr>
        <w:t>四川省</w:t>
      </w:r>
      <w:bookmarkEnd w:id="5"/>
      <w:bookmarkStart w:id="11" w:name="_Toc15306268"/>
      <w:r>
        <w:rPr>
          <w:rFonts w:hint="eastAsia" w:ascii="方正小标宋简体" w:hAnsi="方正小标宋简体" w:eastAsia="方正小标宋简体" w:cs="方正小标宋简体"/>
          <w:sz w:val="52"/>
          <w:szCs w:val="52"/>
        </w:rPr>
        <w:t>巴中市南江县医疗保障局</w:t>
      </w:r>
    </w:p>
    <w:p w14:paraId="607A3616">
      <w:pPr>
        <w:keepNext w:val="0"/>
        <w:keepLines w:val="0"/>
        <w:pageBreakBefore w:val="0"/>
        <w:widowControl w:val="0"/>
        <w:kinsoku/>
        <w:wordWrap/>
        <w:overflowPunct/>
        <w:topLinePunct w:val="0"/>
        <w:autoSpaceDE/>
        <w:autoSpaceDN/>
        <w:bidi w:val="0"/>
        <w:adjustRightInd w:val="0"/>
        <w:snapToGrid w:val="0"/>
        <w:spacing w:line="1000" w:lineRule="exact"/>
        <w:jc w:val="center"/>
        <w:textAlignment w:val="auto"/>
        <w:outlineLvl w:val="0"/>
        <w:rPr>
          <w:rFonts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部门决算</w:t>
      </w:r>
      <w:bookmarkEnd w:id="6"/>
      <w:bookmarkEnd w:id="7"/>
      <w:bookmarkEnd w:id="8"/>
      <w:bookmarkEnd w:id="9"/>
      <w:bookmarkEnd w:id="10"/>
      <w:bookmarkEnd w:id="11"/>
    </w:p>
    <w:p w14:paraId="55561B1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黑体" w:hAnsi="黑体" w:eastAsia="黑体"/>
          <w:sz w:val="44"/>
          <w:szCs w:val="44"/>
        </w:rPr>
        <w:sectPr>
          <w:headerReference r:id="rId3" w:type="default"/>
          <w:pgSz w:w="11906" w:h="16838"/>
          <w:pgMar w:top="1440" w:right="1800" w:bottom="1440" w:left="1800" w:header="851" w:footer="992" w:gutter="0"/>
          <w:pgNumType w:fmt="numberInDash" w:start="1"/>
          <w:cols w:space="425" w:num="1"/>
          <w:titlePg/>
          <w:docGrid w:type="lines" w:linePitch="312" w:charSpace="0"/>
        </w:sectPr>
      </w:pPr>
    </w:p>
    <w:p w14:paraId="28CCB71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黑体" w:hAnsi="黑体" w:eastAsia="黑体"/>
          <w:sz w:val="48"/>
          <w:szCs w:val="48"/>
        </w:rPr>
      </w:pPr>
      <w:r>
        <w:rPr>
          <w:rFonts w:hint="eastAsia" w:ascii="黑体" w:hAnsi="黑体" w:eastAsia="黑体"/>
          <w:sz w:val="44"/>
          <w:szCs w:val="44"/>
        </w:rPr>
        <w:t>目录</w:t>
      </w:r>
    </w:p>
    <w:p w14:paraId="597178C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黑体" w:hAnsi="黑体" w:eastAsia="黑体" w:cstheme="minorBidi"/>
          <w:sz w:val="28"/>
          <w:szCs w:val="28"/>
        </w:rPr>
      </w:pPr>
    </w:p>
    <w:p w14:paraId="79C28A3A">
      <w:pPr>
        <w:pStyle w:val="11"/>
        <w:keepNext w:val="0"/>
        <w:keepLines w:val="0"/>
        <w:pageBreakBefore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公开时间：202</w:t>
      </w:r>
      <w:r>
        <w:rPr>
          <w:rFonts w:hint="eastAsia" w:ascii="楷体_GB2312" w:hAnsi="楷体_GB2312" w:eastAsia="楷体_GB2312" w:cs="楷体_GB2312"/>
          <w:sz w:val="32"/>
          <w:szCs w:val="32"/>
          <w:lang w:val="en-US" w:eastAsia="zh-CN"/>
        </w:rPr>
        <w:t>4</w:t>
      </w:r>
      <w:r>
        <w:rPr>
          <w:rFonts w:hint="eastAsia" w:ascii="楷体_GB2312" w:hAnsi="楷体_GB2312" w:eastAsia="楷体_GB2312" w:cs="楷体_GB2312"/>
          <w:sz w:val="32"/>
          <w:szCs w:val="32"/>
        </w:rPr>
        <w:t>年</w:t>
      </w:r>
      <w:r>
        <w:rPr>
          <w:rFonts w:hint="eastAsia" w:ascii="楷体_GB2312" w:hAnsi="楷体_GB2312" w:eastAsia="楷体_GB2312" w:cs="楷体_GB2312"/>
          <w:sz w:val="32"/>
          <w:szCs w:val="32"/>
          <w:lang w:val="en-US" w:eastAsia="zh-CN"/>
        </w:rPr>
        <w:t>9</w:t>
      </w:r>
      <w:r>
        <w:rPr>
          <w:rFonts w:hint="eastAsia" w:ascii="楷体_GB2312" w:hAnsi="楷体_GB2312" w:eastAsia="楷体_GB2312" w:cs="楷体_GB2312"/>
          <w:sz w:val="32"/>
          <w:szCs w:val="32"/>
        </w:rPr>
        <w:t>月</w:t>
      </w:r>
      <w:r>
        <w:rPr>
          <w:rFonts w:hint="eastAsia" w:ascii="楷体_GB2312" w:hAnsi="楷体_GB2312" w:eastAsia="楷体_GB2312" w:cs="楷体_GB2312"/>
          <w:sz w:val="32"/>
          <w:szCs w:val="32"/>
          <w:lang w:val="en-US" w:eastAsia="zh-CN"/>
        </w:rPr>
        <w:t>13</w:t>
      </w:r>
      <w:r>
        <w:rPr>
          <w:rFonts w:hint="eastAsia" w:ascii="楷体_GB2312" w:hAnsi="楷体_GB2312" w:eastAsia="楷体_GB2312" w:cs="楷体_GB2312"/>
          <w:sz w:val="32"/>
          <w:szCs w:val="32"/>
        </w:rPr>
        <w:t>日</w:t>
      </w:r>
    </w:p>
    <w:p w14:paraId="51D707CF"/>
    <w:p w14:paraId="6F94C5FD">
      <w:pPr>
        <w:pStyle w:val="11"/>
        <w:adjustRightInd w:val="0"/>
        <w:snapToGrid w:val="0"/>
        <w:spacing w:before="0" w:line="440" w:lineRule="exact"/>
        <w:jc w:val="left"/>
        <w:rPr>
          <w:rFonts w:hint="default" w:ascii="Times New Roman" w:hAnsi="Times New Roman" w:eastAsia="仿宋" w:cs="Times New Roman"/>
          <w:color w:val="auto"/>
          <w:sz w:val="24"/>
          <w:szCs w:val="24"/>
          <w:highlight w:val="none"/>
          <w:lang w:val="en-US" w:eastAsia="zh-CN"/>
        </w:rPr>
      </w:pPr>
      <w:bookmarkStart w:id="12" w:name="_Toc15396599"/>
      <w:bookmarkStart w:id="13" w:name="_Toc15377196"/>
      <w:r>
        <w:rPr>
          <w:rFonts w:hint="eastAsia" w:ascii="仿宋_GB2312" w:hAnsi="仿宋_GB2312" w:eastAsia="仿宋_GB2312" w:cs="仿宋_GB2312"/>
          <w:b/>
          <w:bCs/>
          <w:color w:val="auto"/>
          <w:sz w:val="32"/>
          <w:szCs w:val="32"/>
          <w:highlight w:val="none"/>
        </w:rPr>
        <w:t xml:space="preserve">第一部分 </w:t>
      </w:r>
      <w:r>
        <w:rPr>
          <w:rFonts w:hint="eastAsia" w:ascii="仿宋_GB2312" w:hAnsi="仿宋_GB2312" w:eastAsia="仿宋_GB2312" w:cs="仿宋_GB2312"/>
          <w:b/>
          <w:bCs/>
          <w:color w:val="auto"/>
          <w:sz w:val="32"/>
          <w:szCs w:val="32"/>
          <w:highlight w:val="none"/>
          <w:lang w:eastAsia="zh-CN"/>
        </w:rPr>
        <w:t>单位</w:t>
      </w:r>
      <w:r>
        <w:rPr>
          <w:rFonts w:hint="eastAsia" w:ascii="仿宋_GB2312" w:hAnsi="仿宋_GB2312" w:eastAsia="仿宋_GB2312" w:cs="仿宋_GB2312"/>
          <w:b/>
          <w:bCs/>
          <w:color w:val="auto"/>
          <w:sz w:val="32"/>
          <w:szCs w:val="32"/>
          <w:highlight w:val="none"/>
        </w:rPr>
        <w:t>概况</w:t>
      </w:r>
      <w:r>
        <w:rPr>
          <w:rFonts w:hint="eastAsia" w:ascii="Times New Roman" w:hAnsi="Times New Roman" w:cs="Times New Roman"/>
          <w:color w:val="auto"/>
          <w:sz w:val="24"/>
          <w:highlight w:val="none"/>
          <w:lang w:eastAsia="zh-CN"/>
        </w:rPr>
        <w:t>………………………………………………………</w:t>
      </w:r>
      <w:r>
        <w:rPr>
          <w:rFonts w:hint="eastAsia" w:ascii="Times New Roman" w:hAnsi="Times New Roman" w:cs="Times New Roman"/>
          <w:color w:val="auto"/>
          <w:sz w:val="24"/>
          <w:highlight w:val="none"/>
          <w:lang w:val="en-US" w:eastAsia="zh-CN"/>
        </w:rPr>
        <w:t>4</w:t>
      </w:r>
    </w:p>
    <w:p w14:paraId="1088C157">
      <w:pPr>
        <w:pStyle w:val="12"/>
        <w:adjustRightInd w:val="0"/>
        <w:snapToGrid w:val="0"/>
        <w:spacing w:line="440" w:lineRule="exact"/>
        <w:jc w:val="left"/>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一、单位职责……………………………………………4</w:t>
      </w:r>
    </w:p>
    <w:p w14:paraId="66B8EEF4">
      <w:pPr>
        <w:pStyle w:val="12"/>
        <w:adjustRightInd w:val="0"/>
        <w:snapToGrid w:val="0"/>
        <w:spacing w:line="440" w:lineRule="exact"/>
        <w:jc w:val="left"/>
        <w:rPr>
          <w:rFonts w:hint="default" w:ascii="Times New Roman" w:hAnsi="Times New Roman" w:eastAsia="宋体" w:cs="Times New Roman"/>
          <w:color w:val="auto"/>
          <w:lang w:val="en-US" w:eastAsia="zh-CN"/>
        </w:rPr>
      </w:pPr>
      <w:r>
        <w:rPr>
          <w:rFonts w:hint="default" w:ascii="仿宋_GB2312" w:hAnsi="仿宋_GB2312" w:eastAsia="仿宋_GB2312" w:cs="仿宋_GB2312"/>
          <w:color w:val="auto"/>
          <w:kern w:val="2"/>
          <w:sz w:val="32"/>
          <w:szCs w:val="32"/>
          <w:highlight w:val="none"/>
          <w:lang w:val="en-US" w:eastAsia="zh-CN" w:bidi="ar-SA"/>
        </w:rPr>
        <w:t>二、机构设置</w:t>
      </w:r>
      <w:r>
        <w:rPr>
          <w:rFonts w:hint="eastAsia" w:ascii="Times New Roman" w:hAnsi="Times New Roman" w:cs="Times New Roman"/>
          <w:color w:val="auto"/>
          <w:sz w:val="24"/>
          <w:highlight w:val="none"/>
          <w:lang w:eastAsia="zh-CN"/>
        </w:rPr>
        <w:t>……………………………………………………………</w:t>
      </w:r>
      <w:r>
        <w:rPr>
          <w:rFonts w:hint="eastAsia" w:cs="Times New Roman"/>
          <w:color w:val="auto"/>
          <w:sz w:val="24"/>
          <w:highlight w:val="none"/>
          <w:lang w:val="en-US" w:eastAsia="zh-CN"/>
        </w:rPr>
        <w:t>5</w:t>
      </w:r>
    </w:p>
    <w:p w14:paraId="03A17094">
      <w:pPr>
        <w:pStyle w:val="11"/>
        <w:adjustRightInd w:val="0"/>
        <w:snapToGrid w:val="0"/>
        <w:spacing w:before="0" w:line="440" w:lineRule="exact"/>
        <w:jc w:val="left"/>
        <w:rPr>
          <w:rFonts w:hint="default" w:ascii="Times New Roman" w:hAnsi="Times New Roman" w:eastAsia="仿宋" w:cs="Times New Roman"/>
          <w:color w:val="auto"/>
          <w:sz w:val="24"/>
          <w:szCs w:val="24"/>
          <w:highlight w:val="none"/>
          <w:lang w:val="en-US" w:eastAsia="zh-CN"/>
        </w:rPr>
      </w:pPr>
      <w:r>
        <w:rPr>
          <w:rFonts w:hint="default" w:ascii="仿宋_GB2312" w:hAnsi="仿宋_GB2312" w:eastAsia="仿宋_GB2312" w:cs="仿宋_GB2312"/>
          <w:b/>
          <w:bCs/>
          <w:color w:val="auto"/>
          <w:sz w:val="32"/>
          <w:szCs w:val="32"/>
          <w:highlight w:val="none"/>
        </w:rPr>
        <w:t>第二部分</w:t>
      </w:r>
      <w:r>
        <w:rPr>
          <w:rFonts w:hint="default" w:ascii="仿宋_GB2312" w:hAnsi="仿宋_GB2312" w:eastAsia="仿宋_GB2312" w:cs="仿宋_GB2312"/>
          <w:b/>
          <w:bCs/>
          <w:color w:val="auto"/>
          <w:sz w:val="32"/>
          <w:szCs w:val="32"/>
          <w:highlight w:val="none"/>
          <w:lang w:val="en-US" w:eastAsia="zh-CN"/>
        </w:rPr>
        <w:t xml:space="preserve"> 2023年度</w:t>
      </w:r>
      <w:r>
        <w:rPr>
          <w:rFonts w:hint="default" w:ascii="仿宋_GB2312" w:hAnsi="仿宋_GB2312" w:eastAsia="仿宋_GB2312" w:cs="仿宋_GB2312"/>
          <w:b/>
          <w:bCs/>
          <w:color w:val="auto"/>
          <w:sz w:val="32"/>
          <w:szCs w:val="32"/>
          <w:highlight w:val="none"/>
          <w:lang w:eastAsia="zh-CN"/>
        </w:rPr>
        <w:t>单位</w:t>
      </w:r>
      <w:r>
        <w:rPr>
          <w:rFonts w:hint="default" w:ascii="仿宋_GB2312" w:hAnsi="仿宋_GB2312" w:eastAsia="仿宋_GB2312" w:cs="仿宋_GB2312"/>
          <w:b/>
          <w:bCs/>
          <w:color w:val="auto"/>
          <w:sz w:val="32"/>
          <w:szCs w:val="32"/>
          <w:highlight w:val="none"/>
        </w:rPr>
        <w:t>决算情况说明</w:t>
      </w:r>
      <w:r>
        <w:rPr>
          <w:rFonts w:hint="eastAsia" w:ascii="Times New Roman" w:hAnsi="Times New Roman" w:cs="Times New Roman"/>
          <w:color w:val="auto"/>
          <w:sz w:val="24"/>
          <w:highlight w:val="none"/>
          <w:lang w:eastAsia="zh-CN"/>
        </w:rPr>
        <w:t>…………………………</w:t>
      </w:r>
      <w:r>
        <w:rPr>
          <w:rFonts w:hint="eastAsia" w:ascii="Times New Roman" w:hAnsi="Times New Roman" w:cs="Times New Roman"/>
          <w:color w:val="auto"/>
          <w:sz w:val="24"/>
          <w:highlight w:val="none"/>
          <w:lang w:val="en-US" w:eastAsia="zh-CN"/>
        </w:rPr>
        <w:t>6</w:t>
      </w:r>
    </w:p>
    <w:p w14:paraId="0170D035">
      <w:pPr>
        <w:pStyle w:val="12"/>
        <w:adjustRightInd w:val="0"/>
        <w:snapToGrid w:val="0"/>
        <w:spacing w:line="440" w:lineRule="exact"/>
        <w:jc w:val="left"/>
        <w:rPr>
          <w:rFonts w:hint="default" w:ascii="仿宋_GB2312" w:hAnsi="仿宋_GB2312" w:eastAsia="仿宋_GB2312" w:cs="仿宋_GB2312"/>
          <w:color w:val="auto"/>
          <w:kern w:val="2"/>
          <w:sz w:val="32"/>
          <w:szCs w:val="32"/>
          <w:highlight w:val="none"/>
          <w:lang w:val="en-US" w:eastAsia="zh-CN" w:bidi="ar-SA"/>
        </w:rPr>
      </w:pPr>
      <w:r>
        <w:rPr>
          <w:rFonts w:hint="default" w:ascii="仿宋_GB2312" w:hAnsi="仿宋_GB2312" w:eastAsia="仿宋_GB2312" w:cs="仿宋_GB2312"/>
          <w:color w:val="auto"/>
          <w:kern w:val="2"/>
          <w:sz w:val="32"/>
          <w:szCs w:val="32"/>
          <w:highlight w:val="none"/>
          <w:lang w:val="en-US" w:eastAsia="zh-CN" w:bidi="ar-SA"/>
        </w:rPr>
        <w:t>一、收入支出决算总体情况说明</w:t>
      </w:r>
      <w:r>
        <w:rPr>
          <w:rFonts w:hint="eastAsia" w:ascii="仿宋_GB2312" w:hAnsi="仿宋_GB2312" w:eastAsia="仿宋_GB2312" w:cs="仿宋_GB2312"/>
          <w:color w:val="auto"/>
          <w:kern w:val="2"/>
          <w:sz w:val="32"/>
          <w:szCs w:val="32"/>
          <w:highlight w:val="none"/>
          <w:lang w:val="en-US" w:eastAsia="zh-CN" w:bidi="ar-SA"/>
        </w:rPr>
        <w:t>………………………6</w:t>
      </w:r>
    </w:p>
    <w:p w14:paraId="1FE1DCDE">
      <w:pPr>
        <w:pStyle w:val="12"/>
        <w:adjustRightInd w:val="0"/>
        <w:snapToGrid w:val="0"/>
        <w:spacing w:line="440" w:lineRule="exact"/>
        <w:jc w:val="left"/>
        <w:rPr>
          <w:rFonts w:hint="default" w:ascii="仿宋_GB2312" w:hAnsi="仿宋_GB2312" w:eastAsia="仿宋_GB2312" w:cs="仿宋_GB2312"/>
          <w:color w:val="auto"/>
          <w:kern w:val="2"/>
          <w:sz w:val="32"/>
          <w:szCs w:val="32"/>
          <w:highlight w:val="none"/>
          <w:lang w:val="en-US" w:eastAsia="zh-CN" w:bidi="ar-SA"/>
        </w:rPr>
      </w:pPr>
      <w:r>
        <w:rPr>
          <w:rFonts w:hint="default" w:ascii="仿宋_GB2312" w:hAnsi="仿宋_GB2312" w:eastAsia="仿宋_GB2312" w:cs="仿宋_GB2312"/>
          <w:color w:val="auto"/>
          <w:kern w:val="2"/>
          <w:sz w:val="32"/>
          <w:szCs w:val="32"/>
          <w:highlight w:val="none"/>
          <w:lang w:val="en-US" w:eastAsia="zh-CN" w:bidi="ar-SA"/>
        </w:rPr>
        <w:t>二、收入决算情况说明</w:t>
      </w:r>
      <w:r>
        <w:rPr>
          <w:rFonts w:hint="eastAsia" w:ascii="仿宋_GB2312" w:hAnsi="仿宋_GB2312" w:eastAsia="仿宋_GB2312" w:cs="仿宋_GB2312"/>
          <w:color w:val="auto"/>
          <w:kern w:val="2"/>
          <w:sz w:val="32"/>
          <w:szCs w:val="32"/>
          <w:highlight w:val="none"/>
          <w:lang w:val="en-US" w:eastAsia="zh-CN" w:bidi="ar-SA"/>
        </w:rPr>
        <w:t>…………………………………6</w:t>
      </w:r>
    </w:p>
    <w:p w14:paraId="2D0A4F53">
      <w:pPr>
        <w:pStyle w:val="12"/>
        <w:adjustRightInd w:val="0"/>
        <w:snapToGrid w:val="0"/>
        <w:spacing w:line="440" w:lineRule="exact"/>
        <w:jc w:val="left"/>
        <w:rPr>
          <w:rFonts w:hint="default" w:ascii="仿宋_GB2312" w:hAnsi="仿宋_GB2312" w:eastAsia="仿宋_GB2312" w:cs="仿宋_GB2312"/>
          <w:color w:val="auto"/>
          <w:kern w:val="2"/>
          <w:sz w:val="32"/>
          <w:szCs w:val="32"/>
          <w:highlight w:val="none"/>
          <w:lang w:val="en-US" w:eastAsia="zh-CN" w:bidi="ar-SA"/>
        </w:rPr>
      </w:pPr>
      <w:r>
        <w:rPr>
          <w:rFonts w:hint="default" w:ascii="仿宋_GB2312" w:hAnsi="仿宋_GB2312" w:eastAsia="仿宋_GB2312" w:cs="仿宋_GB2312"/>
          <w:color w:val="auto"/>
          <w:kern w:val="2"/>
          <w:sz w:val="32"/>
          <w:szCs w:val="32"/>
          <w:highlight w:val="none"/>
          <w:lang w:val="en-US" w:eastAsia="zh-CN" w:bidi="ar-SA"/>
        </w:rPr>
        <w:t>三、支出决算情况说明</w:t>
      </w:r>
      <w:r>
        <w:rPr>
          <w:rFonts w:hint="eastAsia" w:ascii="仿宋_GB2312" w:hAnsi="仿宋_GB2312" w:eastAsia="仿宋_GB2312" w:cs="仿宋_GB2312"/>
          <w:color w:val="auto"/>
          <w:kern w:val="2"/>
          <w:sz w:val="32"/>
          <w:szCs w:val="32"/>
          <w:highlight w:val="none"/>
          <w:lang w:val="en-US" w:eastAsia="zh-CN" w:bidi="ar-SA"/>
        </w:rPr>
        <w:t>…………………………………7</w:t>
      </w:r>
    </w:p>
    <w:p w14:paraId="667ED8C4">
      <w:pPr>
        <w:pStyle w:val="12"/>
        <w:adjustRightInd w:val="0"/>
        <w:snapToGrid w:val="0"/>
        <w:spacing w:line="440" w:lineRule="exact"/>
        <w:jc w:val="left"/>
        <w:rPr>
          <w:rFonts w:hint="default" w:ascii="仿宋_GB2312" w:hAnsi="仿宋_GB2312" w:eastAsia="仿宋_GB2312" w:cs="仿宋_GB2312"/>
          <w:color w:val="auto"/>
          <w:kern w:val="2"/>
          <w:sz w:val="32"/>
          <w:szCs w:val="32"/>
          <w:highlight w:val="none"/>
          <w:lang w:val="en-US" w:eastAsia="zh-CN" w:bidi="ar-SA"/>
        </w:rPr>
      </w:pPr>
      <w:r>
        <w:rPr>
          <w:rFonts w:hint="default" w:ascii="仿宋_GB2312" w:hAnsi="仿宋_GB2312" w:eastAsia="仿宋_GB2312" w:cs="仿宋_GB2312"/>
          <w:color w:val="auto"/>
          <w:kern w:val="2"/>
          <w:sz w:val="32"/>
          <w:szCs w:val="32"/>
          <w:highlight w:val="none"/>
          <w:lang w:val="en-US" w:eastAsia="zh-CN" w:bidi="ar-SA"/>
        </w:rPr>
        <w:t>四、财政拨款收入支出决算总体情况说明</w:t>
      </w:r>
      <w:r>
        <w:rPr>
          <w:rFonts w:hint="eastAsia" w:ascii="仿宋_GB2312" w:hAnsi="仿宋_GB2312" w:eastAsia="仿宋_GB2312" w:cs="仿宋_GB2312"/>
          <w:color w:val="auto"/>
          <w:kern w:val="2"/>
          <w:sz w:val="32"/>
          <w:szCs w:val="32"/>
          <w:highlight w:val="none"/>
          <w:lang w:val="en-US" w:eastAsia="zh-CN" w:bidi="ar-SA"/>
        </w:rPr>
        <w:t>……………8</w:t>
      </w:r>
    </w:p>
    <w:p w14:paraId="10B145B4">
      <w:pPr>
        <w:pStyle w:val="12"/>
        <w:adjustRightInd w:val="0"/>
        <w:snapToGrid w:val="0"/>
        <w:spacing w:line="440" w:lineRule="exact"/>
        <w:jc w:val="left"/>
        <w:rPr>
          <w:rFonts w:hint="default" w:ascii="仿宋_GB2312" w:hAnsi="仿宋_GB2312" w:eastAsia="仿宋_GB2312" w:cs="仿宋_GB2312"/>
          <w:color w:val="auto"/>
          <w:kern w:val="2"/>
          <w:sz w:val="32"/>
          <w:szCs w:val="32"/>
          <w:highlight w:val="none"/>
          <w:lang w:val="en-US" w:eastAsia="zh-CN" w:bidi="ar-SA"/>
        </w:rPr>
      </w:pPr>
      <w:r>
        <w:rPr>
          <w:rFonts w:hint="default" w:ascii="仿宋_GB2312" w:hAnsi="仿宋_GB2312" w:eastAsia="仿宋_GB2312" w:cs="仿宋_GB2312"/>
          <w:color w:val="auto"/>
          <w:kern w:val="2"/>
          <w:sz w:val="32"/>
          <w:szCs w:val="32"/>
          <w:highlight w:val="none"/>
          <w:lang w:val="en-US" w:eastAsia="zh-CN" w:bidi="ar-SA"/>
        </w:rPr>
        <w:t>五、一般公共预算财政拨款支出决算情况说明</w:t>
      </w:r>
      <w:r>
        <w:rPr>
          <w:rFonts w:hint="eastAsia" w:ascii="仿宋_GB2312" w:hAnsi="仿宋_GB2312" w:eastAsia="仿宋_GB2312" w:cs="仿宋_GB2312"/>
          <w:color w:val="auto"/>
          <w:kern w:val="2"/>
          <w:sz w:val="32"/>
          <w:szCs w:val="32"/>
          <w:highlight w:val="none"/>
          <w:lang w:val="en-US" w:eastAsia="zh-CN" w:bidi="ar-SA"/>
        </w:rPr>
        <w:t>………8</w:t>
      </w:r>
    </w:p>
    <w:p w14:paraId="78DEC46C">
      <w:pPr>
        <w:pStyle w:val="12"/>
        <w:adjustRightInd w:val="0"/>
        <w:snapToGrid w:val="0"/>
        <w:spacing w:line="440" w:lineRule="exact"/>
        <w:jc w:val="left"/>
        <w:rPr>
          <w:rFonts w:hint="default" w:ascii="仿宋_GB2312" w:hAnsi="仿宋_GB2312" w:eastAsia="仿宋_GB2312" w:cs="仿宋_GB2312"/>
          <w:color w:val="auto"/>
          <w:kern w:val="2"/>
          <w:sz w:val="32"/>
          <w:szCs w:val="32"/>
          <w:highlight w:val="none"/>
          <w:lang w:val="en-US" w:eastAsia="zh-CN" w:bidi="ar-SA"/>
        </w:rPr>
      </w:pPr>
      <w:r>
        <w:rPr>
          <w:rFonts w:hint="default" w:ascii="仿宋_GB2312" w:hAnsi="仿宋_GB2312" w:eastAsia="仿宋_GB2312" w:cs="仿宋_GB2312"/>
          <w:color w:val="auto"/>
          <w:kern w:val="2"/>
          <w:sz w:val="32"/>
          <w:szCs w:val="32"/>
          <w:highlight w:val="none"/>
          <w:lang w:val="en-US" w:eastAsia="zh-CN" w:bidi="ar-SA"/>
        </w:rPr>
        <w:t>六、一般公共预算财政拨款基本支出决算情况说明</w:t>
      </w:r>
      <w:r>
        <w:rPr>
          <w:rFonts w:hint="eastAsia" w:ascii="仿宋_GB2312" w:hAnsi="仿宋_GB2312" w:eastAsia="仿宋_GB2312" w:cs="仿宋_GB2312"/>
          <w:color w:val="auto"/>
          <w:kern w:val="2"/>
          <w:sz w:val="32"/>
          <w:szCs w:val="32"/>
          <w:highlight w:val="none"/>
          <w:lang w:val="en-US" w:eastAsia="zh-CN" w:bidi="ar-SA"/>
        </w:rPr>
        <w:t>…11</w:t>
      </w:r>
    </w:p>
    <w:p w14:paraId="75E60C7D">
      <w:pPr>
        <w:pStyle w:val="12"/>
        <w:adjustRightInd w:val="0"/>
        <w:snapToGrid w:val="0"/>
        <w:spacing w:line="440" w:lineRule="exact"/>
        <w:jc w:val="left"/>
        <w:rPr>
          <w:rFonts w:hint="default" w:ascii="仿宋_GB2312" w:hAnsi="仿宋_GB2312" w:eastAsia="仿宋_GB2312" w:cs="仿宋_GB2312"/>
          <w:color w:val="auto"/>
          <w:kern w:val="2"/>
          <w:sz w:val="32"/>
          <w:szCs w:val="32"/>
          <w:highlight w:val="none"/>
          <w:lang w:val="en-US" w:eastAsia="zh-CN" w:bidi="ar-SA"/>
        </w:rPr>
      </w:pPr>
      <w:r>
        <w:rPr>
          <w:rFonts w:hint="default" w:ascii="仿宋_GB2312" w:hAnsi="仿宋_GB2312" w:eastAsia="仿宋_GB2312" w:cs="仿宋_GB2312"/>
          <w:color w:val="auto"/>
          <w:kern w:val="2"/>
          <w:sz w:val="32"/>
          <w:szCs w:val="32"/>
          <w:highlight w:val="none"/>
          <w:lang w:val="en-US" w:eastAsia="zh-CN" w:bidi="ar-SA"/>
        </w:rPr>
        <w:t>七、财政拨款“三公”经费支出决算情况说明</w:t>
      </w:r>
      <w:r>
        <w:rPr>
          <w:rFonts w:hint="eastAsia" w:ascii="仿宋_GB2312" w:hAnsi="仿宋_GB2312" w:eastAsia="仿宋_GB2312" w:cs="仿宋_GB2312"/>
          <w:color w:val="auto"/>
          <w:kern w:val="2"/>
          <w:sz w:val="32"/>
          <w:szCs w:val="32"/>
          <w:highlight w:val="none"/>
          <w:lang w:val="en-US" w:eastAsia="zh-CN" w:bidi="ar-SA"/>
        </w:rPr>
        <w:t>………11</w:t>
      </w:r>
    </w:p>
    <w:p w14:paraId="48A7C014">
      <w:pPr>
        <w:pStyle w:val="12"/>
        <w:adjustRightInd w:val="0"/>
        <w:snapToGrid w:val="0"/>
        <w:spacing w:line="440" w:lineRule="exact"/>
        <w:jc w:val="left"/>
        <w:rPr>
          <w:rFonts w:hint="default" w:ascii="仿宋_GB2312" w:hAnsi="仿宋_GB2312" w:eastAsia="仿宋_GB2312" w:cs="仿宋_GB2312"/>
          <w:color w:val="auto"/>
          <w:kern w:val="2"/>
          <w:sz w:val="32"/>
          <w:szCs w:val="32"/>
          <w:highlight w:val="none"/>
          <w:lang w:val="en-US" w:eastAsia="zh-CN" w:bidi="ar-SA"/>
        </w:rPr>
      </w:pPr>
      <w:r>
        <w:rPr>
          <w:rFonts w:hint="default" w:ascii="仿宋_GB2312" w:hAnsi="仿宋_GB2312" w:eastAsia="仿宋_GB2312" w:cs="仿宋_GB2312"/>
          <w:color w:val="auto"/>
          <w:kern w:val="2"/>
          <w:sz w:val="32"/>
          <w:szCs w:val="32"/>
          <w:highlight w:val="none"/>
          <w:lang w:val="en-US" w:eastAsia="zh-CN" w:bidi="ar-SA"/>
        </w:rPr>
        <w:t>八、政府性基金预算支出决算情况说明</w:t>
      </w:r>
      <w:r>
        <w:rPr>
          <w:rFonts w:hint="eastAsia" w:ascii="仿宋_GB2312" w:hAnsi="仿宋_GB2312" w:eastAsia="仿宋_GB2312" w:cs="仿宋_GB2312"/>
          <w:color w:val="auto"/>
          <w:kern w:val="2"/>
          <w:sz w:val="32"/>
          <w:szCs w:val="32"/>
          <w:highlight w:val="none"/>
          <w:lang w:val="en-US" w:eastAsia="zh-CN" w:bidi="ar-SA"/>
        </w:rPr>
        <w:t>………………12</w:t>
      </w:r>
    </w:p>
    <w:p w14:paraId="75A6E3B9">
      <w:pPr>
        <w:pStyle w:val="12"/>
        <w:adjustRightInd w:val="0"/>
        <w:snapToGrid w:val="0"/>
        <w:spacing w:line="440" w:lineRule="exact"/>
        <w:jc w:val="left"/>
        <w:rPr>
          <w:rFonts w:hint="default" w:ascii="仿宋_GB2312" w:hAnsi="仿宋_GB2312" w:eastAsia="仿宋_GB2312" w:cs="仿宋_GB2312"/>
          <w:color w:val="auto"/>
          <w:kern w:val="2"/>
          <w:sz w:val="32"/>
          <w:szCs w:val="32"/>
          <w:highlight w:val="none"/>
          <w:lang w:val="en-US" w:eastAsia="zh-CN" w:bidi="ar-SA"/>
        </w:rPr>
      </w:pPr>
      <w:r>
        <w:rPr>
          <w:rFonts w:hint="default" w:ascii="仿宋_GB2312" w:hAnsi="仿宋_GB2312" w:eastAsia="仿宋_GB2312" w:cs="仿宋_GB2312"/>
          <w:color w:val="auto"/>
          <w:kern w:val="2"/>
          <w:sz w:val="32"/>
          <w:szCs w:val="32"/>
          <w:highlight w:val="none"/>
          <w:lang w:val="en-US" w:eastAsia="zh-CN" w:bidi="ar-SA"/>
        </w:rPr>
        <w:t>九、国有资本经营预算支出决算情况说明</w:t>
      </w:r>
      <w:r>
        <w:rPr>
          <w:rFonts w:hint="eastAsia" w:ascii="仿宋_GB2312" w:hAnsi="仿宋_GB2312" w:eastAsia="仿宋_GB2312" w:cs="仿宋_GB2312"/>
          <w:color w:val="auto"/>
          <w:kern w:val="2"/>
          <w:sz w:val="32"/>
          <w:szCs w:val="32"/>
          <w:highlight w:val="none"/>
          <w:lang w:val="en-US" w:eastAsia="zh-CN" w:bidi="ar-SA"/>
        </w:rPr>
        <w:t>……………12</w:t>
      </w:r>
    </w:p>
    <w:p w14:paraId="19B43861">
      <w:pPr>
        <w:pStyle w:val="12"/>
        <w:adjustRightInd w:val="0"/>
        <w:snapToGrid w:val="0"/>
        <w:spacing w:line="440" w:lineRule="exact"/>
        <w:jc w:val="left"/>
        <w:rPr>
          <w:rFonts w:hint="default" w:ascii="仿宋_GB2312" w:hAnsi="仿宋_GB2312" w:eastAsia="仿宋_GB2312" w:cs="仿宋_GB2312"/>
          <w:color w:val="auto"/>
          <w:kern w:val="2"/>
          <w:sz w:val="32"/>
          <w:szCs w:val="32"/>
          <w:highlight w:val="none"/>
          <w:lang w:val="en-US" w:eastAsia="zh-CN" w:bidi="ar-SA"/>
        </w:rPr>
      </w:pPr>
      <w:r>
        <w:rPr>
          <w:rFonts w:hint="default" w:ascii="仿宋_GB2312" w:hAnsi="仿宋_GB2312" w:eastAsia="仿宋_GB2312" w:cs="仿宋_GB2312"/>
          <w:color w:val="auto"/>
          <w:kern w:val="2"/>
          <w:sz w:val="32"/>
          <w:szCs w:val="32"/>
          <w:highlight w:val="none"/>
          <w:lang w:val="en-US" w:eastAsia="zh-CN" w:bidi="ar-SA"/>
        </w:rPr>
        <w:t>十、其他重要事项的情况说明</w:t>
      </w:r>
      <w:r>
        <w:rPr>
          <w:rFonts w:hint="eastAsia" w:ascii="仿宋_GB2312" w:hAnsi="仿宋_GB2312" w:eastAsia="仿宋_GB2312" w:cs="仿宋_GB2312"/>
          <w:color w:val="auto"/>
          <w:kern w:val="2"/>
          <w:sz w:val="32"/>
          <w:szCs w:val="32"/>
          <w:highlight w:val="none"/>
          <w:lang w:val="en-US" w:eastAsia="zh-CN" w:bidi="ar-SA"/>
        </w:rPr>
        <w:t>…………………………12</w:t>
      </w:r>
      <w:bookmarkStart w:id="68" w:name="_GoBack"/>
      <w:bookmarkEnd w:id="68"/>
    </w:p>
    <w:p w14:paraId="21EC0995">
      <w:pPr>
        <w:pStyle w:val="11"/>
        <w:adjustRightInd w:val="0"/>
        <w:snapToGrid w:val="0"/>
        <w:spacing w:before="0" w:line="440" w:lineRule="exact"/>
        <w:jc w:val="left"/>
        <w:rPr>
          <w:rFonts w:hint="default" w:ascii="仿宋_GB2312" w:hAnsi="仿宋_GB2312" w:eastAsia="仿宋_GB2312" w:cs="仿宋_GB2312"/>
          <w:color w:val="auto"/>
          <w:kern w:val="2"/>
          <w:sz w:val="32"/>
          <w:szCs w:val="32"/>
          <w:highlight w:val="none"/>
          <w:lang w:val="en-US" w:eastAsia="zh-CN" w:bidi="ar-SA"/>
        </w:rPr>
      </w:pPr>
      <w:r>
        <w:rPr>
          <w:rFonts w:hint="default" w:ascii="仿宋_GB2312" w:hAnsi="仿宋_GB2312" w:eastAsia="仿宋_GB2312" w:cs="仿宋_GB2312"/>
          <w:b/>
          <w:bCs/>
          <w:color w:val="auto"/>
          <w:kern w:val="2"/>
          <w:sz w:val="32"/>
          <w:szCs w:val="32"/>
          <w:highlight w:val="none"/>
          <w:lang w:val="en-US" w:eastAsia="zh-CN" w:bidi="ar-SA"/>
        </w:rPr>
        <w:t>第三部分 名词解释</w:t>
      </w:r>
      <w:r>
        <w:rPr>
          <w:rFonts w:hint="eastAsia" w:ascii="仿宋_GB2312" w:hAnsi="仿宋_GB2312" w:eastAsia="仿宋_GB2312" w:cs="仿宋_GB2312"/>
          <w:color w:val="auto"/>
          <w:kern w:val="2"/>
          <w:sz w:val="32"/>
          <w:szCs w:val="32"/>
          <w:highlight w:val="none"/>
          <w:lang w:val="en-US" w:eastAsia="zh-CN" w:bidi="ar-SA"/>
        </w:rPr>
        <w:t>…………………………………………14</w:t>
      </w:r>
    </w:p>
    <w:p w14:paraId="6A6C2571">
      <w:pPr>
        <w:pStyle w:val="11"/>
        <w:adjustRightInd w:val="0"/>
        <w:snapToGrid w:val="0"/>
        <w:spacing w:before="0" w:line="440" w:lineRule="exact"/>
        <w:jc w:val="left"/>
        <w:rPr>
          <w:rFonts w:hint="default" w:ascii="仿宋_GB2312" w:hAnsi="仿宋_GB2312" w:eastAsia="仿宋_GB2312" w:cs="仿宋_GB2312"/>
          <w:b w:val="0"/>
          <w:bCs w:val="0"/>
          <w:color w:val="auto"/>
          <w:kern w:val="2"/>
          <w:sz w:val="32"/>
          <w:szCs w:val="32"/>
          <w:highlight w:val="none"/>
          <w:lang w:val="en-US" w:eastAsia="zh-CN" w:bidi="ar-SA"/>
        </w:rPr>
      </w:pPr>
      <w:r>
        <w:rPr>
          <w:rFonts w:hint="default" w:ascii="仿宋_GB2312" w:hAnsi="仿宋_GB2312" w:eastAsia="仿宋_GB2312" w:cs="仿宋_GB2312"/>
          <w:b/>
          <w:bCs/>
          <w:color w:val="auto"/>
          <w:kern w:val="2"/>
          <w:sz w:val="32"/>
          <w:szCs w:val="32"/>
          <w:highlight w:val="none"/>
          <w:lang w:val="en-US" w:eastAsia="zh-CN" w:bidi="ar-SA"/>
        </w:rPr>
        <w:t>第四部分 附件</w:t>
      </w:r>
      <w:r>
        <w:rPr>
          <w:rFonts w:hint="eastAsia" w:ascii="仿宋_GB2312" w:hAnsi="仿宋_GB2312" w:eastAsia="仿宋_GB2312" w:cs="仿宋_GB2312"/>
          <w:b w:val="0"/>
          <w:bCs w:val="0"/>
          <w:color w:val="auto"/>
          <w:kern w:val="2"/>
          <w:sz w:val="32"/>
          <w:szCs w:val="32"/>
          <w:highlight w:val="none"/>
          <w:lang w:val="en-US" w:eastAsia="zh-CN" w:bidi="ar-SA"/>
        </w:rPr>
        <w:t>………………………………………………17</w:t>
      </w:r>
    </w:p>
    <w:p w14:paraId="2A53E267">
      <w:pPr>
        <w:pStyle w:val="11"/>
        <w:adjustRightInd w:val="0"/>
        <w:snapToGrid w:val="0"/>
        <w:spacing w:before="0" w:line="440" w:lineRule="exact"/>
        <w:jc w:val="left"/>
        <w:rPr>
          <w:rFonts w:hint="default" w:ascii="仿宋_GB2312" w:hAnsi="仿宋_GB2312" w:eastAsia="仿宋_GB2312" w:cs="仿宋_GB2312"/>
          <w:color w:val="auto"/>
          <w:kern w:val="2"/>
          <w:sz w:val="32"/>
          <w:szCs w:val="32"/>
          <w:highlight w:val="none"/>
          <w:lang w:val="en-US" w:eastAsia="zh-CN" w:bidi="ar-SA"/>
        </w:rPr>
      </w:pPr>
      <w:r>
        <w:rPr>
          <w:rFonts w:hint="default" w:ascii="仿宋_GB2312" w:hAnsi="仿宋_GB2312" w:eastAsia="仿宋_GB2312" w:cs="仿宋_GB2312"/>
          <w:b/>
          <w:bCs/>
          <w:color w:val="auto"/>
          <w:kern w:val="2"/>
          <w:sz w:val="32"/>
          <w:szCs w:val="32"/>
          <w:highlight w:val="none"/>
          <w:lang w:val="en-US" w:eastAsia="zh-CN" w:bidi="ar-SA"/>
        </w:rPr>
        <w:t>第五部分 附表</w:t>
      </w:r>
      <w:r>
        <w:rPr>
          <w:rFonts w:hint="eastAsia" w:ascii="仿宋_GB2312" w:hAnsi="仿宋_GB2312" w:eastAsia="仿宋_GB2312" w:cs="仿宋_GB2312"/>
          <w:color w:val="auto"/>
          <w:kern w:val="2"/>
          <w:sz w:val="32"/>
          <w:szCs w:val="32"/>
          <w:highlight w:val="none"/>
          <w:lang w:val="en-US" w:eastAsia="zh-CN" w:bidi="ar-SA"/>
        </w:rPr>
        <w:t>………………………………………………20</w:t>
      </w:r>
    </w:p>
    <w:p w14:paraId="7BF62A08">
      <w:pPr>
        <w:pStyle w:val="12"/>
        <w:adjustRightInd w:val="0"/>
        <w:snapToGrid w:val="0"/>
        <w:spacing w:line="440" w:lineRule="exact"/>
        <w:jc w:val="left"/>
        <w:rPr>
          <w:rFonts w:hint="default" w:ascii="仿宋_GB2312" w:hAnsi="仿宋_GB2312" w:eastAsia="仿宋_GB2312" w:cs="仿宋_GB2312"/>
          <w:color w:val="auto"/>
          <w:kern w:val="2"/>
          <w:sz w:val="32"/>
          <w:szCs w:val="32"/>
          <w:highlight w:val="none"/>
          <w:lang w:val="en-US" w:eastAsia="zh-CN" w:bidi="ar-SA"/>
        </w:rPr>
      </w:pPr>
      <w:r>
        <w:rPr>
          <w:rFonts w:hint="default" w:ascii="仿宋_GB2312" w:hAnsi="仿宋_GB2312" w:eastAsia="仿宋_GB2312" w:cs="仿宋_GB2312"/>
          <w:color w:val="auto"/>
          <w:kern w:val="2"/>
          <w:sz w:val="32"/>
          <w:szCs w:val="32"/>
          <w:highlight w:val="none"/>
          <w:lang w:val="en-US" w:eastAsia="zh-CN" w:bidi="ar-SA"/>
        </w:rPr>
        <w:t>一、收入支出决算总表</w:t>
      </w:r>
    </w:p>
    <w:p w14:paraId="23B358DC">
      <w:pPr>
        <w:pStyle w:val="12"/>
        <w:adjustRightInd w:val="0"/>
        <w:snapToGrid w:val="0"/>
        <w:spacing w:line="440" w:lineRule="exact"/>
        <w:jc w:val="left"/>
        <w:rPr>
          <w:rFonts w:hint="default" w:ascii="仿宋_GB2312" w:hAnsi="仿宋_GB2312" w:eastAsia="仿宋_GB2312" w:cs="仿宋_GB2312"/>
          <w:color w:val="auto"/>
          <w:kern w:val="2"/>
          <w:sz w:val="32"/>
          <w:szCs w:val="32"/>
          <w:highlight w:val="none"/>
          <w:lang w:val="en-US" w:eastAsia="zh-CN" w:bidi="ar-SA"/>
        </w:rPr>
      </w:pPr>
      <w:r>
        <w:rPr>
          <w:rFonts w:hint="default" w:ascii="仿宋_GB2312" w:hAnsi="仿宋_GB2312" w:eastAsia="仿宋_GB2312" w:cs="仿宋_GB2312"/>
          <w:color w:val="auto"/>
          <w:kern w:val="2"/>
          <w:sz w:val="32"/>
          <w:szCs w:val="32"/>
          <w:highlight w:val="none"/>
          <w:lang w:val="en-US" w:eastAsia="zh-CN" w:bidi="ar-SA"/>
        </w:rPr>
        <w:t>二、收入决算表</w:t>
      </w:r>
    </w:p>
    <w:p w14:paraId="0707BD8F">
      <w:pPr>
        <w:pStyle w:val="12"/>
        <w:adjustRightInd w:val="0"/>
        <w:snapToGrid w:val="0"/>
        <w:spacing w:line="440" w:lineRule="exact"/>
        <w:jc w:val="left"/>
        <w:rPr>
          <w:rFonts w:hint="default" w:ascii="仿宋_GB2312" w:hAnsi="仿宋_GB2312" w:eastAsia="仿宋_GB2312" w:cs="仿宋_GB2312"/>
          <w:color w:val="auto"/>
          <w:kern w:val="2"/>
          <w:sz w:val="32"/>
          <w:szCs w:val="32"/>
          <w:highlight w:val="none"/>
          <w:lang w:val="en-US" w:eastAsia="zh-CN" w:bidi="ar-SA"/>
        </w:rPr>
      </w:pPr>
      <w:r>
        <w:rPr>
          <w:rFonts w:hint="default" w:ascii="仿宋_GB2312" w:hAnsi="仿宋_GB2312" w:eastAsia="仿宋_GB2312" w:cs="仿宋_GB2312"/>
          <w:color w:val="auto"/>
          <w:kern w:val="2"/>
          <w:sz w:val="32"/>
          <w:szCs w:val="32"/>
          <w:highlight w:val="none"/>
          <w:lang w:val="en-US" w:eastAsia="zh-CN" w:bidi="ar-SA"/>
        </w:rPr>
        <w:t>三、支出决算表</w:t>
      </w:r>
    </w:p>
    <w:p w14:paraId="3A42259E">
      <w:pPr>
        <w:pStyle w:val="12"/>
        <w:adjustRightInd w:val="0"/>
        <w:snapToGrid w:val="0"/>
        <w:spacing w:line="440" w:lineRule="exact"/>
        <w:jc w:val="left"/>
        <w:rPr>
          <w:rFonts w:hint="default" w:ascii="仿宋_GB2312" w:hAnsi="仿宋_GB2312" w:eastAsia="仿宋_GB2312" w:cs="仿宋_GB2312"/>
          <w:color w:val="auto"/>
          <w:kern w:val="2"/>
          <w:sz w:val="32"/>
          <w:szCs w:val="32"/>
          <w:highlight w:val="none"/>
          <w:lang w:val="en-US" w:eastAsia="zh-CN" w:bidi="ar-SA"/>
        </w:rPr>
      </w:pPr>
      <w:r>
        <w:rPr>
          <w:rFonts w:hint="default" w:ascii="仿宋_GB2312" w:hAnsi="仿宋_GB2312" w:eastAsia="仿宋_GB2312" w:cs="仿宋_GB2312"/>
          <w:color w:val="auto"/>
          <w:kern w:val="2"/>
          <w:sz w:val="32"/>
          <w:szCs w:val="32"/>
          <w:highlight w:val="none"/>
          <w:lang w:val="en-US" w:eastAsia="zh-CN" w:bidi="ar-SA"/>
        </w:rPr>
        <w:t>四、财政拨款收入支出决算总表</w:t>
      </w:r>
    </w:p>
    <w:p w14:paraId="3570B58A">
      <w:pPr>
        <w:pStyle w:val="12"/>
        <w:adjustRightInd w:val="0"/>
        <w:snapToGrid w:val="0"/>
        <w:spacing w:line="440" w:lineRule="exact"/>
        <w:jc w:val="left"/>
        <w:rPr>
          <w:rFonts w:hint="default" w:ascii="仿宋_GB2312" w:hAnsi="仿宋_GB2312" w:eastAsia="仿宋_GB2312" w:cs="仿宋_GB2312"/>
          <w:color w:val="auto"/>
          <w:kern w:val="2"/>
          <w:sz w:val="32"/>
          <w:szCs w:val="32"/>
          <w:highlight w:val="none"/>
          <w:lang w:val="en-US" w:eastAsia="zh-CN" w:bidi="ar-SA"/>
        </w:rPr>
      </w:pPr>
      <w:r>
        <w:rPr>
          <w:rFonts w:hint="default" w:ascii="仿宋_GB2312" w:hAnsi="仿宋_GB2312" w:eastAsia="仿宋_GB2312" w:cs="仿宋_GB2312"/>
          <w:color w:val="auto"/>
          <w:kern w:val="2"/>
          <w:sz w:val="32"/>
          <w:szCs w:val="32"/>
          <w:highlight w:val="none"/>
          <w:lang w:val="en-US" w:eastAsia="zh-CN" w:bidi="ar-SA"/>
        </w:rPr>
        <w:t>五、财政拨款支出决算明细表</w:t>
      </w:r>
    </w:p>
    <w:p w14:paraId="243EDCC7">
      <w:pPr>
        <w:pStyle w:val="12"/>
        <w:adjustRightInd w:val="0"/>
        <w:snapToGrid w:val="0"/>
        <w:spacing w:line="440" w:lineRule="exact"/>
        <w:jc w:val="left"/>
        <w:rPr>
          <w:rFonts w:hint="default" w:ascii="仿宋_GB2312" w:hAnsi="仿宋_GB2312" w:eastAsia="仿宋_GB2312" w:cs="仿宋_GB2312"/>
          <w:color w:val="auto"/>
          <w:kern w:val="2"/>
          <w:sz w:val="32"/>
          <w:szCs w:val="32"/>
          <w:highlight w:val="none"/>
          <w:lang w:val="en-US" w:eastAsia="zh-CN" w:bidi="ar-SA"/>
        </w:rPr>
      </w:pPr>
      <w:r>
        <w:rPr>
          <w:rFonts w:hint="default" w:ascii="仿宋_GB2312" w:hAnsi="仿宋_GB2312" w:eastAsia="仿宋_GB2312" w:cs="仿宋_GB2312"/>
          <w:color w:val="auto"/>
          <w:kern w:val="2"/>
          <w:sz w:val="32"/>
          <w:szCs w:val="32"/>
          <w:highlight w:val="none"/>
          <w:lang w:val="en-US" w:eastAsia="zh-CN" w:bidi="ar-SA"/>
        </w:rPr>
        <w:t>六、一般公共预算财政拨款支出决算表</w:t>
      </w:r>
    </w:p>
    <w:p w14:paraId="59A7717E">
      <w:pPr>
        <w:pStyle w:val="12"/>
        <w:adjustRightInd w:val="0"/>
        <w:snapToGrid w:val="0"/>
        <w:spacing w:line="440" w:lineRule="exact"/>
        <w:jc w:val="left"/>
        <w:rPr>
          <w:rFonts w:hint="default" w:ascii="仿宋_GB2312" w:hAnsi="仿宋_GB2312" w:eastAsia="仿宋_GB2312" w:cs="仿宋_GB2312"/>
          <w:color w:val="auto"/>
          <w:kern w:val="2"/>
          <w:sz w:val="32"/>
          <w:szCs w:val="32"/>
          <w:highlight w:val="none"/>
          <w:lang w:val="en-US" w:eastAsia="zh-CN" w:bidi="ar-SA"/>
        </w:rPr>
      </w:pPr>
      <w:r>
        <w:rPr>
          <w:rFonts w:hint="default" w:ascii="仿宋_GB2312" w:hAnsi="仿宋_GB2312" w:eastAsia="仿宋_GB2312" w:cs="仿宋_GB2312"/>
          <w:color w:val="auto"/>
          <w:kern w:val="2"/>
          <w:sz w:val="32"/>
          <w:szCs w:val="32"/>
          <w:highlight w:val="none"/>
          <w:lang w:val="en-US" w:eastAsia="zh-CN" w:bidi="ar-SA"/>
        </w:rPr>
        <w:t>七、一般公共预算财政拨款支出决算明细表</w:t>
      </w:r>
    </w:p>
    <w:p w14:paraId="0D444919">
      <w:pPr>
        <w:pStyle w:val="12"/>
        <w:adjustRightInd w:val="0"/>
        <w:snapToGrid w:val="0"/>
        <w:spacing w:line="440" w:lineRule="exact"/>
        <w:jc w:val="left"/>
        <w:rPr>
          <w:rFonts w:hint="default" w:ascii="仿宋_GB2312" w:hAnsi="仿宋_GB2312" w:eastAsia="仿宋_GB2312" w:cs="仿宋_GB2312"/>
          <w:color w:val="auto"/>
          <w:kern w:val="2"/>
          <w:sz w:val="32"/>
          <w:szCs w:val="32"/>
          <w:highlight w:val="none"/>
          <w:lang w:val="en-US" w:eastAsia="zh-CN" w:bidi="ar-SA"/>
        </w:rPr>
      </w:pPr>
      <w:r>
        <w:rPr>
          <w:rFonts w:hint="default" w:ascii="仿宋_GB2312" w:hAnsi="仿宋_GB2312" w:eastAsia="仿宋_GB2312" w:cs="仿宋_GB2312"/>
          <w:color w:val="auto"/>
          <w:kern w:val="2"/>
          <w:sz w:val="32"/>
          <w:szCs w:val="32"/>
          <w:highlight w:val="none"/>
          <w:lang w:val="en-US" w:eastAsia="zh-CN" w:bidi="ar-SA"/>
        </w:rPr>
        <w:t>八、一般公共预算财政拨款基本支出决算明细表</w:t>
      </w:r>
    </w:p>
    <w:p w14:paraId="3E7B91DB">
      <w:pPr>
        <w:pStyle w:val="12"/>
        <w:adjustRightInd w:val="0"/>
        <w:snapToGrid w:val="0"/>
        <w:spacing w:line="440" w:lineRule="exact"/>
        <w:jc w:val="left"/>
        <w:rPr>
          <w:rFonts w:hint="default" w:ascii="仿宋_GB2312" w:hAnsi="仿宋_GB2312" w:eastAsia="仿宋_GB2312" w:cs="仿宋_GB2312"/>
          <w:color w:val="auto"/>
          <w:kern w:val="2"/>
          <w:sz w:val="32"/>
          <w:szCs w:val="32"/>
          <w:highlight w:val="none"/>
          <w:lang w:val="en-US" w:eastAsia="zh-CN" w:bidi="ar-SA"/>
        </w:rPr>
      </w:pPr>
      <w:r>
        <w:rPr>
          <w:rFonts w:hint="default" w:ascii="仿宋_GB2312" w:hAnsi="仿宋_GB2312" w:eastAsia="仿宋_GB2312" w:cs="仿宋_GB2312"/>
          <w:color w:val="auto"/>
          <w:kern w:val="2"/>
          <w:sz w:val="32"/>
          <w:szCs w:val="32"/>
          <w:highlight w:val="none"/>
          <w:lang w:val="en-US" w:eastAsia="zh-CN" w:bidi="ar-SA"/>
        </w:rPr>
        <w:t>九、一般公共预算财政拨款项目支出决算表</w:t>
      </w:r>
    </w:p>
    <w:p w14:paraId="7B723E1C">
      <w:pPr>
        <w:pStyle w:val="12"/>
        <w:adjustRightInd w:val="0"/>
        <w:snapToGrid w:val="0"/>
        <w:spacing w:line="440" w:lineRule="exact"/>
        <w:jc w:val="left"/>
        <w:rPr>
          <w:rFonts w:hint="default" w:ascii="仿宋_GB2312" w:hAnsi="仿宋_GB2312" w:eastAsia="仿宋_GB2312" w:cs="仿宋_GB2312"/>
          <w:color w:val="auto"/>
          <w:kern w:val="2"/>
          <w:sz w:val="32"/>
          <w:szCs w:val="32"/>
          <w:highlight w:val="none"/>
          <w:lang w:val="en-US" w:eastAsia="zh-CN" w:bidi="ar-SA"/>
        </w:rPr>
      </w:pPr>
      <w:r>
        <w:rPr>
          <w:rFonts w:hint="default" w:ascii="仿宋_GB2312" w:hAnsi="仿宋_GB2312" w:eastAsia="仿宋_GB2312" w:cs="仿宋_GB2312"/>
          <w:color w:val="auto"/>
          <w:kern w:val="2"/>
          <w:sz w:val="32"/>
          <w:szCs w:val="32"/>
          <w:highlight w:val="none"/>
          <w:lang w:val="en-US" w:eastAsia="zh-CN" w:bidi="ar-SA"/>
        </w:rPr>
        <w:t>十、政府性基金预算财政拨款收入支出决算表</w:t>
      </w:r>
    </w:p>
    <w:p w14:paraId="267C588A">
      <w:pPr>
        <w:pStyle w:val="12"/>
        <w:adjustRightInd w:val="0"/>
        <w:snapToGrid w:val="0"/>
        <w:spacing w:line="440" w:lineRule="exact"/>
        <w:jc w:val="left"/>
        <w:rPr>
          <w:rFonts w:hint="default" w:ascii="仿宋_GB2312" w:hAnsi="仿宋_GB2312" w:eastAsia="仿宋_GB2312" w:cs="仿宋_GB2312"/>
          <w:color w:val="auto"/>
          <w:kern w:val="2"/>
          <w:sz w:val="32"/>
          <w:szCs w:val="32"/>
          <w:highlight w:val="none"/>
          <w:lang w:val="en-US" w:eastAsia="zh-CN" w:bidi="ar-SA"/>
        </w:rPr>
      </w:pPr>
      <w:r>
        <w:rPr>
          <w:rFonts w:hint="default" w:ascii="仿宋_GB2312" w:hAnsi="仿宋_GB2312" w:eastAsia="仿宋_GB2312" w:cs="仿宋_GB2312"/>
          <w:color w:val="auto"/>
          <w:kern w:val="2"/>
          <w:sz w:val="32"/>
          <w:szCs w:val="32"/>
          <w:highlight w:val="none"/>
          <w:lang w:val="en-US" w:eastAsia="zh-CN" w:bidi="ar-SA"/>
        </w:rPr>
        <w:t>十一、国有资本经营预算财政拨款收入支出决算表</w:t>
      </w:r>
    </w:p>
    <w:p w14:paraId="7F7D999E">
      <w:pPr>
        <w:pStyle w:val="12"/>
        <w:adjustRightInd w:val="0"/>
        <w:snapToGrid w:val="0"/>
        <w:spacing w:line="440" w:lineRule="exact"/>
        <w:jc w:val="left"/>
        <w:rPr>
          <w:rFonts w:hint="default" w:ascii="仿宋_GB2312" w:hAnsi="仿宋_GB2312" w:eastAsia="仿宋_GB2312" w:cs="仿宋_GB2312"/>
          <w:color w:val="auto"/>
          <w:kern w:val="2"/>
          <w:sz w:val="32"/>
          <w:szCs w:val="32"/>
          <w:highlight w:val="none"/>
          <w:lang w:val="en-US" w:eastAsia="zh-CN" w:bidi="ar-SA"/>
        </w:rPr>
      </w:pPr>
      <w:r>
        <w:rPr>
          <w:rFonts w:hint="default" w:ascii="仿宋_GB2312" w:hAnsi="仿宋_GB2312" w:eastAsia="仿宋_GB2312" w:cs="仿宋_GB2312"/>
          <w:color w:val="auto"/>
          <w:kern w:val="2"/>
          <w:sz w:val="32"/>
          <w:szCs w:val="32"/>
          <w:highlight w:val="none"/>
          <w:lang w:val="en-US" w:eastAsia="zh-CN" w:bidi="ar-SA"/>
        </w:rPr>
        <w:t>十二、国有资本经营预算财政拨款支出决算表</w:t>
      </w:r>
    </w:p>
    <w:p w14:paraId="142A934C">
      <w:pPr>
        <w:pStyle w:val="12"/>
        <w:adjustRightInd w:val="0"/>
        <w:snapToGrid w:val="0"/>
        <w:spacing w:line="440" w:lineRule="exact"/>
        <w:jc w:val="left"/>
        <w:rPr>
          <w:rFonts w:hint="default" w:ascii="仿宋_GB2312" w:hAnsi="仿宋_GB2312" w:eastAsia="仿宋_GB2312" w:cs="仿宋_GB2312"/>
          <w:color w:val="auto"/>
          <w:kern w:val="2"/>
          <w:sz w:val="32"/>
          <w:szCs w:val="32"/>
          <w:highlight w:val="none"/>
          <w:lang w:val="en-US" w:eastAsia="zh-CN" w:bidi="ar-SA"/>
        </w:rPr>
      </w:pPr>
      <w:r>
        <w:rPr>
          <w:rFonts w:hint="default" w:ascii="仿宋_GB2312" w:hAnsi="仿宋_GB2312" w:eastAsia="仿宋_GB2312" w:cs="仿宋_GB2312"/>
          <w:color w:val="auto"/>
          <w:kern w:val="2"/>
          <w:sz w:val="32"/>
          <w:szCs w:val="32"/>
          <w:highlight w:val="none"/>
          <w:lang w:val="en-US" w:eastAsia="zh-CN" w:bidi="ar-SA"/>
        </w:rPr>
        <w:t>十三、财政拨款“三公”经费支出决算表</w:t>
      </w:r>
    </w:p>
    <w:p w14:paraId="2F7FFE50">
      <w:pPr>
        <w:widowControl/>
        <w:spacing w:line="440" w:lineRule="exact"/>
        <w:jc w:val="left"/>
        <w:rPr>
          <w:rFonts w:hint="default" w:ascii="Times New Roman" w:hAnsi="Times New Roman" w:eastAsia="仿宋" w:cs="Times New Roman"/>
          <w:bCs/>
          <w:color w:val="auto"/>
          <w:kern w:val="44"/>
          <w:sz w:val="24"/>
          <w:highlight w:val="none"/>
        </w:rPr>
      </w:pPr>
      <w:r>
        <w:rPr>
          <w:rFonts w:hint="default" w:ascii="Times New Roman" w:hAnsi="Times New Roman" w:eastAsia="仿宋" w:cs="Times New Roman"/>
          <w:b/>
          <w:color w:val="auto"/>
          <w:sz w:val="24"/>
          <w:highlight w:val="none"/>
        </w:rPr>
        <w:br w:type="page"/>
      </w:r>
    </w:p>
    <w:bookmarkEnd w:id="12"/>
    <w:bookmarkEnd w:id="13"/>
    <w:p w14:paraId="491642A3">
      <w:pPr>
        <w:pStyle w:val="3"/>
        <w:keepNext/>
        <w:keepLines/>
        <w:pageBreakBefore w:val="0"/>
        <w:widowControl w:val="0"/>
        <w:kinsoku/>
        <w:wordWrap/>
        <w:overflowPunct/>
        <w:topLinePunct w:val="0"/>
        <w:autoSpaceDE/>
        <w:autoSpaceDN/>
        <w:bidi w:val="0"/>
        <w:adjustRightInd/>
        <w:snapToGrid/>
        <w:spacing w:before="0" w:after="0" w:line="48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val="0"/>
          <w:color w:val="auto"/>
          <w:sz w:val="44"/>
          <w:szCs w:val="44"/>
          <w:highlight w:val="none"/>
        </w:rPr>
        <w:t xml:space="preserve">第一部分 </w:t>
      </w:r>
      <w:r>
        <w:rPr>
          <w:rFonts w:hint="eastAsia" w:ascii="方正小标宋简体" w:hAnsi="方正小标宋简体" w:eastAsia="方正小标宋简体" w:cs="方正小标宋简体"/>
          <w:b w:val="0"/>
          <w:color w:val="auto"/>
          <w:sz w:val="44"/>
          <w:szCs w:val="44"/>
          <w:highlight w:val="none"/>
          <w:lang w:eastAsia="zh-CN"/>
        </w:rPr>
        <w:t>单位</w:t>
      </w:r>
      <w:r>
        <w:rPr>
          <w:rStyle w:val="28"/>
          <w:rFonts w:hint="eastAsia" w:ascii="方正小标宋简体" w:hAnsi="方正小标宋简体" w:eastAsia="方正小标宋简体" w:cs="方正小标宋简体"/>
          <w:b w:val="0"/>
          <w:bCs w:val="0"/>
          <w:color w:val="auto"/>
          <w:sz w:val="44"/>
          <w:szCs w:val="44"/>
          <w:highlight w:val="none"/>
        </w:rPr>
        <w:t>概况</w:t>
      </w:r>
    </w:p>
    <w:p w14:paraId="02D1E626">
      <w:pPr>
        <w:pStyle w:val="4"/>
        <w:keepNext/>
        <w:keepLines/>
        <w:pageBreakBefore w:val="0"/>
        <w:widowControl w:val="0"/>
        <w:kinsoku/>
        <w:wordWrap/>
        <w:overflowPunct/>
        <w:topLinePunct w:val="0"/>
        <w:autoSpaceDE/>
        <w:autoSpaceDN/>
        <w:bidi w:val="0"/>
        <w:adjustRightInd/>
        <w:snapToGrid/>
        <w:spacing w:before="0" w:after="0" w:line="480" w:lineRule="exact"/>
        <w:textAlignment w:val="auto"/>
        <w:rPr>
          <w:rFonts w:hint="eastAsia" w:ascii="黑体" w:eastAsia="黑体"/>
          <w:b w:val="0"/>
          <w:lang w:eastAsia="zh-CN"/>
        </w:rPr>
      </w:pPr>
    </w:p>
    <w:p w14:paraId="73CAEB39">
      <w:pPr>
        <w:pStyle w:val="4"/>
        <w:keepNext/>
        <w:keepLines/>
        <w:pageBreakBefore w:val="0"/>
        <w:widowControl w:val="0"/>
        <w:kinsoku/>
        <w:wordWrap/>
        <w:overflowPunct/>
        <w:topLinePunct w:val="0"/>
        <w:autoSpaceDE/>
        <w:autoSpaceDN/>
        <w:bidi w:val="0"/>
        <w:adjustRightInd/>
        <w:snapToGrid/>
        <w:spacing w:before="0" w:after="0" w:line="560" w:lineRule="exact"/>
        <w:textAlignment w:val="auto"/>
        <w:rPr>
          <w:rFonts w:hint="eastAsia" w:ascii="黑体" w:eastAsia="黑体"/>
          <w:b w:val="0"/>
          <w:lang w:eastAsia="zh-CN"/>
        </w:rPr>
      </w:pPr>
      <w:r>
        <w:rPr>
          <w:rFonts w:hint="eastAsia" w:ascii="黑体" w:eastAsia="黑体"/>
          <w:b w:val="0"/>
          <w:lang w:eastAsia="zh-CN"/>
        </w:rPr>
        <w:t>一、单位职责</w:t>
      </w:r>
    </w:p>
    <w:p w14:paraId="7C7E99BE">
      <w:pPr>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根据《南江县机构改革方案》（南委发</w:t>
      </w:r>
      <w:r>
        <w:rPr>
          <w:rFonts w:ascii="仿宋_GB2312" w:hAnsi="宋体" w:eastAsia="仿宋_GB2312" w:cs="宋体"/>
          <w:color w:val="000000"/>
          <w:kern w:val="0"/>
          <w:sz w:val="32"/>
        </w:rPr>
        <w:t>〔2019〕</w:t>
      </w:r>
      <w:r>
        <w:rPr>
          <w:rFonts w:hint="eastAsia" w:ascii="仿宋_GB2312" w:hAnsi="仿宋" w:eastAsia="仿宋_GB2312"/>
          <w:sz w:val="32"/>
          <w:szCs w:val="32"/>
        </w:rPr>
        <w:t xml:space="preserve">4号）和《南江县医疗保障局职能配置、内设股室机构和人员编制》（南委办〔2019〕61号）文件规定，本部门主要职责是： </w:t>
      </w:r>
    </w:p>
    <w:p w14:paraId="27BD2AD0">
      <w:pPr>
        <w:pageBreakBefore w:val="0"/>
        <w:widowControl w:val="0"/>
        <w:kinsoku/>
        <w:wordWrap/>
        <w:overflowPunct/>
        <w:topLinePunct w:val="0"/>
        <w:autoSpaceDE/>
        <w:autoSpaceDN/>
        <w:bidi w:val="0"/>
        <w:adjustRightInd/>
        <w:snapToGrid w:val="0"/>
        <w:spacing w:line="52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（1）组织实施医疗保险、生育保险、医疗救助、大病保险、长期护理保险等医疗保障制度，拟订全县医疗保障事业发展规划、政策和标准，并组织实施和监督检查。</w:t>
      </w:r>
    </w:p>
    <w:p w14:paraId="29E2D313">
      <w:pPr>
        <w:pageBreakBefore w:val="0"/>
        <w:widowControl w:val="0"/>
        <w:kinsoku/>
        <w:wordWrap/>
        <w:overflowPunct/>
        <w:topLinePunct w:val="0"/>
        <w:autoSpaceDE/>
        <w:autoSpaceDN/>
        <w:bidi w:val="0"/>
        <w:adjustRightInd/>
        <w:snapToGrid w:val="0"/>
        <w:spacing w:line="52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（2）组织拟订并实施医疗保障基金监督管理制度，建立健全医疗保障基金安全防控机制，保障全县医疗保障基金稳健运行。</w:t>
      </w:r>
    </w:p>
    <w:p w14:paraId="314BF7C6">
      <w:pPr>
        <w:pageBreakBefore w:val="0"/>
        <w:widowControl w:val="0"/>
        <w:kinsoku/>
        <w:wordWrap/>
        <w:overflowPunct/>
        <w:topLinePunct w:val="0"/>
        <w:autoSpaceDE/>
        <w:autoSpaceDN/>
        <w:bidi w:val="0"/>
        <w:adjustRightInd/>
        <w:snapToGrid w:val="0"/>
        <w:spacing w:line="52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（3）组织拟订医疗保障筹资和待遇政策，建立健全与筹资水平相适应的待遇调整机制。组织建立并实施长期护理保险制度改革。</w:t>
      </w:r>
    </w:p>
    <w:p w14:paraId="263101A8">
      <w:pPr>
        <w:pageBreakBefore w:val="0"/>
        <w:widowControl w:val="0"/>
        <w:kinsoku/>
        <w:wordWrap/>
        <w:overflowPunct/>
        <w:topLinePunct w:val="0"/>
        <w:autoSpaceDE/>
        <w:autoSpaceDN/>
        <w:bidi w:val="0"/>
        <w:adjustRightInd/>
        <w:snapToGrid w:val="0"/>
        <w:spacing w:line="52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（4）监督管理和执行药品、医用耗材、医疗服务项目、医疗服务设施等医疗保障目录和支付标准。</w:t>
      </w:r>
    </w:p>
    <w:p w14:paraId="4200AEDF">
      <w:pPr>
        <w:pageBreakBefore w:val="0"/>
        <w:widowControl w:val="0"/>
        <w:kinsoku/>
        <w:wordWrap/>
        <w:overflowPunct/>
        <w:topLinePunct w:val="0"/>
        <w:autoSpaceDE/>
        <w:autoSpaceDN/>
        <w:bidi w:val="0"/>
        <w:adjustRightInd/>
        <w:snapToGrid w:val="0"/>
        <w:spacing w:line="52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5）承担药品、医用耗材价格和医疗服务项目、医疗服务设施收费等政策的贯彻执行，建立医保支付医药服务价格动态调整机制，推动建立市场主导的社会医药服务价格形成机制，建立价格信息监测和信息发布制度。</w:t>
      </w:r>
    </w:p>
    <w:p w14:paraId="322847AE">
      <w:pPr>
        <w:pageBreakBefore w:val="0"/>
        <w:widowControl w:val="0"/>
        <w:kinsoku/>
        <w:wordWrap/>
        <w:overflowPunct/>
        <w:topLinePunct w:val="0"/>
        <w:autoSpaceDE/>
        <w:autoSpaceDN/>
        <w:bidi w:val="0"/>
        <w:adjustRightInd/>
        <w:snapToGrid w:val="0"/>
        <w:spacing w:line="52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（6）监督实施全县药品、医用耗材的招标采购政策。</w:t>
      </w:r>
    </w:p>
    <w:p w14:paraId="6DC8CEC8">
      <w:pPr>
        <w:pageBreakBefore w:val="0"/>
        <w:widowControl w:val="0"/>
        <w:kinsoku/>
        <w:wordWrap/>
        <w:overflowPunct/>
        <w:topLinePunct w:val="0"/>
        <w:autoSpaceDE/>
        <w:autoSpaceDN/>
        <w:bidi w:val="0"/>
        <w:adjustRightInd/>
        <w:snapToGrid w:val="0"/>
        <w:spacing w:line="52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7）拟订全县定点医药机构协议和支付管理办法并组织实施，推进医疗保障基金支付方式改革，监督管理全县医疗保障定点医药机构。建立健全医疗保障信用评价体系和信息披露制度，监督管理定点医药机构医疗服务行为和医疗费用，依法查处医疗保障领域违法违规行为。</w:t>
      </w:r>
    </w:p>
    <w:p w14:paraId="23DE5363">
      <w:pPr>
        <w:pageBreakBefore w:val="0"/>
        <w:widowControl w:val="0"/>
        <w:kinsoku/>
        <w:wordWrap/>
        <w:overflowPunct/>
        <w:topLinePunct w:val="0"/>
        <w:autoSpaceDE/>
        <w:autoSpaceDN/>
        <w:bidi w:val="0"/>
        <w:adjustRightInd/>
        <w:snapToGrid w:val="0"/>
        <w:spacing w:line="52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（8）负责全县医疗保障经办管理和有关服务。组织实施异地就医管理和费用结算。执行医疗保障关系转移接续制度。承担全县医保经办服务管理。开展医疗保障领域对外合作交流。</w:t>
      </w:r>
    </w:p>
    <w:p w14:paraId="4DFA4301">
      <w:pPr>
        <w:pageBreakBefore w:val="0"/>
        <w:widowControl w:val="0"/>
        <w:kinsoku/>
        <w:wordWrap/>
        <w:overflowPunct/>
        <w:topLinePunct w:val="0"/>
        <w:autoSpaceDE/>
        <w:autoSpaceDN/>
        <w:bidi w:val="0"/>
        <w:adjustRightInd/>
        <w:snapToGrid w:val="0"/>
        <w:spacing w:line="52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（9）负责规划并实施全县医疗保障信息化建设。组织开展医疗保障大数据管理和应用。</w:t>
      </w:r>
    </w:p>
    <w:p w14:paraId="2D60EB78">
      <w:pPr>
        <w:pageBreakBefore w:val="0"/>
        <w:widowControl w:val="0"/>
        <w:kinsoku/>
        <w:wordWrap/>
        <w:overflowPunct/>
        <w:topLinePunct w:val="0"/>
        <w:autoSpaceDE/>
        <w:autoSpaceDN/>
        <w:bidi w:val="0"/>
        <w:adjustRightInd/>
        <w:snapToGrid w:val="0"/>
        <w:spacing w:line="52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（10）完成县委县政府交办的其他任务。</w:t>
      </w:r>
    </w:p>
    <w:p w14:paraId="51CE1FC8">
      <w:pPr>
        <w:pageBreakBefore w:val="0"/>
        <w:widowControl w:val="0"/>
        <w:kinsoku/>
        <w:wordWrap/>
        <w:overflowPunct/>
        <w:topLinePunct w:val="0"/>
        <w:autoSpaceDE/>
        <w:autoSpaceDN/>
        <w:bidi w:val="0"/>
        <w:adjustRightInd/>
        <w:snapToGrid w:val="0"/>
        <w:spacing w:line="57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11）职能转变。完善统一的城乡居民基本医疗保险和大病保险制度，不断提高医疗保障水平，建立健全覆盖全民、城乡统筹的多层次医疗保障体系，确保医疗保障基金合理使用、安全可控，推进医疗、医保、医药“三医联动”改革，更好地保障人民群众就医需求、减轻医药费用负担。</w:t>
      </w:r>
    </w:p>
    <w:p w14:paraId="671A99FC">
      <w:pPr>
        <w:pStyle w:val="4"/>
        <w:pageBreakBefore w:val="0"/>
        <w:widowControl w:val="0"/>
        <w:kinsoku/>
        <w:wordWrap/>
        <w:overflowPunct/>
        <w:topLinePunct w:val="0"/>
        <w:autoSpaceDE/>
        <w:autoSpaceDN/>
        <w:bidi w:val="0"/>
        <w:adjustRightInd/>
        <w:spacing w:before="0" w:after="0" w:line="570" w:lineRule="exact"/>
        <w:ind w:firstLine="640" w:firstLineChars="200"/>
        <w:textAlignment w:val="auto"/>
        <w:rPr>
          <w:rStyle w:val="29"/>
          <w:b w:val="0"/>
          <w:bCs w:val="0"/>
        </w:rPr>
      </w:pPr>
      <w:bookmarkStart w:id="14" w:name="_Toc15396601"/>
      <w:bookmarkStart w:id="15" w:name="_Toc15377200"/>
      <w:r>
        <w:rPr>
          <w:rFonts w:hint="eastAsia" w:ascii="黑体" w:eastAsia="黑体"/>
          <w:b w:val="0"/>
        </w:rPr>
        <w:t>二、</w:t>
      </w:r>
      <w:r>
        <w:rPr>
          <w:rFonts w:hint="eastAsia" w:ascii="黑体" w:hAnsi="黑体" w:eastAsia="黑体"/>
          <w:b w:val="0"/>
        </w:rPr>
        <w:t>机</w:t>
      </w:r>
      <w:r>
        <w:rPr>
          <w:rStyle w:val="29"/>
          <w:rFonts w:hint="eastAsia" w:ascii="黑体" w:hAnsi="黑体" w:eastAsia="黑体"/>
          <w:b w:val="0"/>
          <w:bCs w:val="0"/>
        </w:rPr>
        <w:t>构设置</w:t>
      </w:r>
      <w:bookmarkEnd w:id="14"/>
      <w:bookmarkEnd w:id="15"/>
    </w:p>
    <w:p w14:paraId="5399EF00">
      <w:pPr>
        <w:pageBreakBefore w:val="0"/>
        <w:widowControl w:val="0"/>
        <w:kinsoku/>
        <w:wordWrap/>
        <w:overflowPunct/>
        <w:topLinePunct w:val="0"/>
        <w:autoSpaceDE/>
        <w:autoSpaceDN/>
        <w:bidi w:val="0"/>
        <w:adjustRightInd/>
        <w:spacing w:line="570" w:lineRule="exact"/>
        <w:ind w:firstLine="640" w:firstLineChars="200"/>
        <w:textAlignment w:val="auto"/>
        <w:rPr>
          <w:rFonts w:hint="eastAsia" w:ascii="黑体" w:hAnsi="黑体" w:eastAsia="黑体"/>
          <w:b w:val="0"/>
        </w:rPr>
      </w:pPr>
      <w:r>
        <w:rPr>
          <w:rFonts w:hint="eastAsia" w:ascii="仿宋_GB2312" w:hAnsi="仿宋" w:eastAsia="仿宋_GB2312"/>
          <w:sz w:val="32"/>
          <w:szCs w:val="32"/>
        </w:rPr>
        <w:t>南江县医疗保障局决算组成单位包括南江县医疗保障局、</w:t>
      </w:r>
      <w:r>
        <w:rPr>
          <w:rFonts w:hint="eastAsia" w:ascii="仿宋" w:hAnsi="仿宋" w:eastAsia="仿宋" w:cs="仿宋"/>
          <w:sz w:val="32"/>
          <w:szCs w:val="32"/>
        </w:rPr>
        <w:t>南江县城乡居民医疗保险服务中心、南江县医疗保险信息中心。医保局局机关与中心合署办公，预算单位</w:t>
      </w:r>
      <w:r>
        <w:rPr>
          <w:rFonts w:hint="eastAsia" w:ascii="仿宋" w:hAnsi="仿宋" w:eastAsia="仿宋" w:cs="仿宋"/>
          <w:sz w:val="32"/>
          <w:szCs w:val="32"/>
          <w:lang w:eastAsia="zh-CN"/>
        </w:rPr>
        <w:t>为南江县医疗保障局</w:t>
      </w:r>
      <w:r>
        <w:rPr>
          <w:rFonts w:hint="eastAsia" w:ascii="仿宋" w:hAnsi="仿宋" w:eastAsia="仿宋" w:cs="仿宋"/>
          <w:sz w:val="32"/>
          <w:szCs w:val="32"/>
          <w:lang w:val="en-US" w:eastAsia="zh-CN"/>
        </w:rPr>
        <w:t>1个</w:t>
      </w:r>
      <w:r>
        <w:rPr>
          <w:rFonts w:hint="eastAsia" w:ascii="仿宋" w:hAnsi="仿宋" w:eastAsia="仿宋" w:cs="仿宋"/>
          <w:sz w:val="32"/>
          <w:szCs w:val="32"/>
        </w:rPr>
        <w:t>。</w:t>
      </w:r>
      <w:r>
        <w:rPr>
          <w:rFonts w:hint="eastAsia" w:ascii="仿宋" w:hAnsi="仿宋" w:eastAsia="仿宋" w:cs="仿宋"/>
          <w:sz w:val="32"/>
          <w:szCs w:val="32"/>
          <w:lang w:eastAsia="zh-CN"/>
        </w:rPr>
        <w:t>医保局内设机构为办公室、待遇保障股、医疗监管股、基金监管股、医药服务管理（医药价格与招标采购）股、财务股。</w:t>
      </w:r>
      <w:r>
        <w:rPr>
          <w:rFonts w:hint="eastAsia" w:ascii="仿宋" w:hAnsi="仿宋" w:eastAsia="仿宋" w:cs="仿宋"/>
          <w:sz w:val="32"/>
          <w:szCs w:val="32"/>
          <w:lang w:val="en-US" w:eastAsia="zh-CN"/>
        </w:rPr>
        <w:t>2023年末实有职工32人，年度内无增减变动。</w:t>
      </w:r>
      <w:bookmarkStart w:id="16" w:name="_Toc15396602"/>
      <w:bookmarkStart w:id="17" w:name="_Toc15377204"/>
    </w:p>
    <w:p w14:paraId="12D60A37">
      <w:pPr>
        <w:rPr>
          <w:rFonts w:hint="eastAsia" w:ascii="黑体" w:hAnsi="黑体" w:eastAsia="黑体"/>
          <w:b w:val="0"/>
        </w:rPr>
      </w:pPr>
      <w:r>
        <w:rPr>
          <w:rFonts w:hint="eastAsia" w:ascii="黑体" w:hAnsi="黑体" w:eastAsia="黑体"/>
          <w:b w:val="0"/>
        </w:rPr>
        <w:br w:type="page"/>
      </w:r>
    </w:p>
    <w:p w14:paraId="29E8D2D7">
      <w:pPr>
        <w:pStyle w:val="3"/>
        <w:keepNext/>
        <w:keepLines/>
        <w:pageBreakBefore w:val="0"/>
        <w:widowControl w:val="0"/>
        <w:kinsoku/>
        <w:wordWrap/>
        <w:overflowPunct/>
        <w:topLinePunct w:val="0"/>
        <w:autoSpaceDE/>
        <w:autoSpaceDN/>
        <w:bidi w:val="0"/>
        <w:adjustRightInd/>
        <w:snapToGrid/>
        <w:spacing w:before="0" w:after="0" w:line="560" w:lineRule="exact"/>
        <w:ind w:right="0"/>
        <w:jc w:val="center"/>
        <w:textAlignment w:val="auto"/>
        <w:rPr>
          <w:rStyle w:val="28"/>
          <w:rFonts w:ascii="黑体" w:hAnsi="黑体" w:eastAsia="黑体"/>
          <w:b w:val="0"/>
          <w:bCs/>
        </w:rPr>
      </w:pPr>
      <w:r>
        <w:rPr>
          <w:rFonts w:hint="eastAsia" w:ascii="黑体" w:hAnsi="黑体" w:eastAsia="黑体"/>
          <w:b w:val="0"/>
        </w:rPr>
        <w:t>第二部分</w:t>
      </w:r>
      <w:r>
        <w:rPr>
          <w:rFonts w:hint="eastAsia" w:ascii="黑体" w:hAnsi="黑体" w:eastAsia="黑体"/>
          <w:b w:val="0"/>
          <w:lang w:val="en-US" w:eastAsia="zh-CN"/>
        </w:rPr>
        <w:t xml:space="preserve"> </w:t>
      </w:r>
      <w:r>
        <w:rPr>
          <w:rFonts w:hint="eastAsia" w:ascii="黑体" w:hAnsi="黑体" w:eastAsia="黑体"/>
          <w:b w:val="0"/>
        </w:rPr>
        <w:t>202</w:t>
      </w:r>
      <w:r>
        <w:rPr>
          <w:rFonts w:hint="eastAsia" w:ascii="黑体" w:hAnsi="黑体" w:eastAsia="黑体"/>
          <w:b w:val="0"/>
          <w:lang w:val="en-US" w:eastAsia="zh-CN"/>
        </w:rPr>
        <w:t>3</w:t>
      </w:r>
      <w:r>
        <w:rPr>
          <w:rFonts w:hint="eastAsia" w:ascii="黑体" w:hAnsi="黑体" w:eastAsia="黑体"/>
          <w:b w:val="0"/>
        </w:rPr>
        <w:t>年度</w:t>
      </w:r>
      <w:r>
        <w:rPr>
          <w:rStyle w:val="28"/>
          <w:rFonts w:hint="eastAsia" w:ascii="黑体" w:hAnsi="黑体" w:eastAsia="黑体"/>
          <w:b w:val="0"/>
          <w:bCs/>
        </w:rPr>
        <w:t>部门决算情况说明</w:t>
      </w:r>
      <w:bookmarkEnd w:id="16"/>
      <w:bookmarkEnd w:id="17"/>
    </w:p>
    <w:p w14:paraId="2FBE15D0"/>
    <w:p w14:paraId="0FB41AE3">
      <w:pPr>
        <w:pStyle w:val="27"/>
        <w:numPr>
          <w:ilvl w:val="0"/>
          <w:numId w:val="0"/>
        </w:numPr>
        <w:spacing w:line="600" w:lineRule="exact"/>
        <w:ind w:left="640" w:leftChars="0"/>
        <w:outlineLvl w:val="1"/>
        <w:rPr>
          <w:rStyle w:val="29"/>
          <w:rFonts w:ascii="黑体" w:hAnsi="黑体" w:eastAsia="黑体"/>
          <w:b w:val="0"/>
        </w:rPr>
      </w:pPr>
      <w:bookmarkStart w:id="18" w:name="_Toc15396603"/>
      <w:bookmarkStart w:id="19" w:name="_Toc15377205"/>
      <w:r>
        <w:rPr>
          <w:rFonts w:hint="eastAsia" w:ascii="黑体" w:hAnsi="黑体" w:eastAsia="黑体"/>
          <w:sz w:val="32"/>
          <w:szCs w:val="32"/>
          <w:lang w:eastAsia="zh-CN"/>
        </w:rPr>
        <w:t>一、</w:t>
      </w:r>
      <w:r>
        <w:rPr>
          <w:rFonts w:hint="eastAsia" w:ascii="黑体" w:hAnsi="黑体" w:eastAsia="黑体"/>
          <w:sz w:val="32"/>
          <w:szCs w:val="32"/>
        </w:rPr>
        <w:t>收</w:t>
      </w:r>
      <w:r>
        <w:rPr>
          <w:rStyle w:val="29"/>
          <w:rFonts w:hint="eastAsia" w:ascii="黑体" w:hAnsi="黑体" w:eastAsia="黑体"/>
          <w:b w:val="0"/>
        </w:rPr>
        <w:t>入支出决算总体情况说明</w:t>
      </w:r>
      <w:bookmarkEnd w:id="18"/>
      <w:bookmarkEnd w:id="19"/>
    </w:p>
    <w:p w14:paraId="52FD0363">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年总</w:t>
      </w:r>
      <w:r>
        <w:rPr>
          <w:rFonts w:hint="eastAsia" w:ascii="仿宋_GB2312" w:hAnsi="仿宋_GB2312" w:eastAsia="仿宋_GB2312" w:cs="仿宋_GB2312"/>
          <w:sz w:val="32"/>
          <w:szCs w:val="32"/>
          <w:lang w:eastAsia="zh-CN"/>
        </w:rPr>
        <w:t>收入</w:t>
      </w:r>
      <w:r>
        <w:rPr>
          <w:rFonts w:hint="eastAsia" w:ascii="仿宋_GB2312" w:hAnsi="仿宋_GB2312" w:eastAsia="仿宋_GB2312" w:cs="仿宋_GB2312"/>
          <w:sz w:val="32"/>
          <w:szCs w:val="32"/>
          <w:lang w:val="en-US" w:eastAsia="zh-CN"/>
        </w:rPr>
        <w:t>1262.94</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，同比202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527.58万</w:t>
      </w:r>
      <w:r>
        <w:rPr>
          <w:rFonts w:hint="eastAsia" w:ascii="仿宋_GB2312" w:hAnsi="仿宋_GB2312" w:eastAsia="仿宋_GB2312" w:cs="仿宋_GB2312"/>
          <w:sz w:val="32"/>
          <w:szCs w:val="32"/>
        </w:rPr>
        <w:t>增加</w:t>
      </w:r>
      <w:r>
        <w:rPr>
          <w:rFonts w:hint="eastAsia" w:ascii="仿宋_GB2312" w:hAnsi="仿宋_GB2312" w:eastAsia="仿宋_GB2312" w:cs="仿宋_GB2312"/>
          <w:sz w:val="32"/>
          <w:szCs w:val="32"/>
          <w:lang w:val="en-US" w:eastAsia="zh-CN"/>
        </w:rPr>
        <w:t>753.36</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139.38</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增加的主要原因是新增新冠患者资金704.83万元。</w:t>
      </w:r>
    </w:p>
    <w:p w14:paraId="5A54612E">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年总</w:t>
      </w:r>
      <w:r>
        <w:rPr>
          <w:rFonts w:hint="eastAsia" w:ascii="仿宋_GB2312" w:hAnsi="仿宋_GB2312" w:eastAsia="仿宋_GB2312" w:cs="仿宋_GB2312"/>
          <w:sz w:val="32"/>
          <w:szCs w:val="32"/>
          <w:lang w:eastAsia="zh-CN"/>
        </w:rPr>
        <w:t>支出</w:t>
      </w:r>
      <w:r>
        <w:rPr>
          <w:rFonts w:hint="eastAsia" w:ascii="仿宋_GB2312" w:hAnsi="仿宋_GB2312" w:eastAsia="仿宋_GB2312" w:cs="仿宋_GB2312"/>
          <w:sz w:val="32"/>
          <w:szCs w:val="32"/>
          <w:lang w:val="en-US" w:eastAsia="zh-CN"/>
        </w:rPr>
        <w:t>1262.94</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，同比202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527.58万</w:t>
      </w:r>
      <w:r>
        <w:rPr>
          <w:rFonts w:hint="eastAsia" w:ascii="仿宋_GB2312" w:hAnsi="仿宋_GB2312" w:eastAsia="仿宋_GB2312" w:cs="仿宋_GB2312"/>
          <w:sz w:val="32"/>
          <w:szCs w:val="32"/>
        </w:rPr>
        <w:t>增加</w:t>
      </w:r>
      <w:r>
        <w:rPr>
          <w:rFonts w:hint="eastAsia" w:ascii="仿宋_GB2312" w:hAnsi="仿宋_GB2312" w:eastAsia="仿宋_GB2312" w:cs="仿宋_GB2312"/>
          <w:sz w:val="32"/>
          <w:szCs w:val="32"/>
          <w:lang w:val="en-US" w:eastAsia="zh-CN"/>
        </w:rPr>
        <w:t>753.36</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139.38</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增加的主要原因是新增新冠患者资金704.83万元。</w:t>
      </w:r>
    </w:p>
    <w:p w14:paraId="6E8F0725">
      <w:pPr>
        <w:pageBreakBefore w:val="0"/>
        <w:kinsoku/>
        <w:wordWrap/>
        <w:overflowPunct/>
        <w:topLinePunct w:val="0"/>
        <w:bidi w:val="0"/>
        <w:spacing w:line="240" w:lineRule="auto"/>
        <w:ind w:right="0" w:firstLine="321" w:firstLineChars="100"/>
        <w:jc w:val="center"/>
        <w:textAlignment w:val="auto"/>
        <w:outlineLvl w:val="1"/>
        <w:rPr>
          <w:rFonts w:hint="default" w:ascii="宋体" w:hAnsi="宋体" w:eastAsia="宋体" w:cs="宋体"/>
          <w:b/>
          <w:bCs/>
          <w:color w:val="auto"/>
          <w:kern w:val="2"/>
          <w:sz w:val="32"/>
          <w:szCs w:val="32"/>
          <w:lang w:val="en-US" w:eastAsia="zh-CN" w:bidi="ar-SA"/>
        </w:rPr>
      </w:pPr>
      <w:r>
        <w:rPr>
          <w:rFonts w:hint="default" w:ascii="宋体" w:hAnsi="宋体" w:eastAsia="宋体" w:cs="宋体"/>
          <w:b/>
          <w:bCs/>
          <w:color w:val="auto"/>
          <w:kern w:val="2"/>
          <w:sz w:val="32"/>
          <w:szCs w:val="32"/>
          <w:lang w:val="en-US" w:eastAsia="zh-CN" w:bidi="ar-SA"/>
        </w:rPr>
        <w:t>（图1：收、支决算总计变动情况图）（柱状图）</w:t>
      </w:r>
    </w:p>
    <w:p w14:paraId="56134EBD">
      <w:pPr>
        <w:pageBreakBefore w:val="0"/>
        <w:kinsoku/>
        <w:wordWrap/>
        <w:overflowPunct/>
        <w:topLinePunct w:val="0"/>
        <w:bidi w:val="0"/>
        <w:spacing w:line="240" w:lineRule="auto"/>
        <w:ind w:firstLine="640" w:firstLineChars="200"/>
        <w:jc w:val="left"/>
        <w:textAlignment w:val="auto"/>
        <w:rPr>
          <w:rFonts w:ascii="仿宋_GB2312" w:eastAsia="仿宋_GB2312"/>
          <w:sz w:val="32"/>
          <w:szCs w:val="32"/>
        </w:rPr>
      </w:pPr>
      <w:r>
        <w:rPr>
          <w:rFonts w:hint="eastAsia" w:ascii="Times New Roman" w:hAnsi="Times New Roman" w:eastAsia="仿宋_GB2312" w:cs="Times New Roman"/>
          <w:color w:val="auto"/>
          <w:sz w:val="32"/>
          <w:szCs w:val="32"/>
          <w:highlight w:val="none"/>
          <w:lang w:eastAsia="zh-CN"/>
        </w:rPr>
        <w:drawing>
          <wp:inline distT="0" distB="0" distL="114300" distR="114300">
            <wp:extent cx="4526915" cy="3115310"/>
            <wp:effectExtent l="6350" t="6350" r="19685" b="2159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04718538">
      <w:pPr>
        <w:pStyle w:val="27"/>
        <w:numPr>
          <w:ilvl w:val="0"/>
          <w:numId w:val="0"/>
        </w:numPr>
        <w:spacing w:line="600" w:lineRule="exact"/>
        <w:ind w:left="640" w:leftChars="0"/>
        <w:outlineLvl w:val="1"/>
        <w:rPr>
          <w:rStyle w:val="29"/>
          <w:rFonts w:ascii="黑体" w:hAnsi="黑体" w:eastAsia="黑体"/>
          <w:b w:val="0"/>
        </w:rPr>
      </w:pPr>
      <w:bookmarkStart w:id="20" w:name="_Toc15377206"/>
      <w:bookmarkStart w:id="21" w:name="_Toc15396604"/>
      <w:r>
        <w:rPr>
          <w:rFonts w:hint="eastAsia" w:ascii="黑体" w:hAnsi="黑体" w:eastAsia="黑体"/>
          <w:sz w:val="32"/>
          <w:szCs w:val="32"/>
          <w:lang w:eastAsia="zh-CN"/>
        </w:rPr>
        <w:t>二、</w:t>
      </w:r>
      <w:r>
        <w:rPr>
          <w:rFonts w:hint="eastAsia" w:ascii="黑体" w:hAnsi="黑体" w:eastAsia="黑体"/>
          <w:sz w:val="32"/>
          <w:szCs w:val="32"/>
        </w:rPr>
        <w:t>收</w:t>
      </w:r>
      <w:r>
        <w:rPr>
          <w:rStyle w:val="29"/>
          <w:rFonts w:hint="eastAsia" w:ascii="黑体" w:hAnsi="黑体" w:eastAsia="黑体"/>
          <w:b w:val="0"/>
        </w:rPr>
        <w:t>入决算情况说明</w:t>
      </w:r>
      <w:bookmarkEnd w:id="20"/>
      <w:bookmarkEnd w:id="21"/>
    </w:p>
    <w:p w14:paraId="3D07608A">
      <w:pPr>
        <w:spacing w:line="600" w:lineRule="exact"/>
        <w:ind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年本年收入合计</w:t>
      </w:r>
      <w:r>
        <w:rPr>
          <w:rFonts w:hint="eastAsia" w:ascii="仿宋_GB2312" w:hAnsi="仿宋_GB2312" w:eastAsia="仿宋_GB2312" w:cs="仿宋_GB2312"/>
          <w:sz w:val="32"/>
          <w:szCs w:val="32"/>
          <w:lang w:val="en-US" w:eastAsia="zh-CN"/>
        </w:rPr>
        <w:t>1262.94</w:t>
      </w:r>
      <w:r>
        <w:rPr>
          <w:rFonts w:hint="eastAsia" w:ascii="仿宋_GB2312" w:hAnsi="仿宋_GB2312" w:eastAsia="仿宋_GB2312" w:cs="仿宋_GB2312"/>
          <w:sz w:val="32"/>
          <w:szCs w:val="32"/>
        </w:rPr>
        <w:t>万元，其中：</w:t>
      </w:r>
      <w:bookmarkStart w:id="22" w:name="OLE_LINK1"/>
      <w:r>
        <w:rPr>
          <w:rFonts w:hint="eastAsia" w:ascii="仿宋_GB2312" w:hAnsi="仿宋_GB2312" w:eastAsia="仿宋_GB2312" w:cs="仿宋_GB2312"/>
          <w:sz w:val="32"/>
          <w:szCs w:val="32"/>
        </w:rPr>
        <w:t>一般公共预算财政拨款收入</w:t>
      </w:r>
      <w:bookmarkEnd w:id="22"/>
      <w:r>
        <w:rPr>
          <w:rFonts w:hint="eastAsia" w:ascii="仿宋_GB2312" w:hAnsi="仿宋_GB2312" w:eastAsia="仿宋_GB2312" w:cs="仿宋_GB2312"/>
          <w:sz w:val="32"/>
          <w:szCs w:val="32"/>
          <w:lang w:val="en-US" w:eastAsia="zh-CN"/>
        </w:rPr>
        <w:t>1258.42</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99.64</w:t>
      </w:r>
      <w:r>
        <w:rPr>
          <w:rFonts w:hint="eastAsia" w:ascii="仿宋_GB2312" w:hAnsi="仿宋_GB2312" w:eastAsia="仿宋_GB2312" w:cs="仿宋_GB2312"/>
          <w:sz w:val="32"/>
          <w:szCs w:val="32"/>
        </w:rPr>
        <w:t>%；政府性基金预算财政拨款收入</w:t>
      </w:r>
      <w:r>
        <w:rPr>
          <w:rFonts w:hint="eastAsia" w:ascii="仿宋_GB2312" w:hAnsi="仿宋_GB2312" w:eastAsia="仿宋_GB2312" w:cs="仿宋_GB2312"/>
          <w:sz w:val="32"/>
          <w:szCs w:val="32"/>
          <w:lang w:val="en-US" w:eastAsia="zh-CN"/>
        </w:rPr>
        <w:t>4.52</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0.36</w:t>
      </w:r>
      <w:r>
        <w:rPr>
          <w:rFonts w:hint="eastAsia" w:ascii="仿宋_GB2312" w:hAnsi="仿宋_GB2312" w:eastAsia="仿宋_GB2312" w:cs="仿宋_GB2312"/>
          <w:sz w:val="32"/>
          <w:szCs w:val="32"/>
        </w:rPr>
        <w:t>%；国有资本经营预算财政拨款收入0万元，占0%；上级补助收入0万元，占0%；事业收入0万元，占0%；经营收入0万元，占0%；附属单位上缴收入0万元，占0%；其他收入0万元，占0%。</w:t>
      </w:r>
    </w:p>
    <w:p w14:paraId="68DA9382">
      <w:pPr>
        <w:pageBreakBefore w:val="0"/>
        <w:kinsoku/>
        <w:wordWrap/>
        <w:overflowPunct/>
        <w:topLinePunct w:val="0"/>
        <w:bidi w:val="0"/>
        <w:spacing w:line="240" w:lineRule="auto"/>
        <w:ind w:right="0" w:firstLine="321" w:firstLineChars="100"/>
        <w:jc w:val="center"/>
        <w:textAlignment w:val="auto"/>
        <w:outlineLvl w:val="1"/>
        <w:rPr>
          <w:rFonts w:hint="default" w:ascii="宋体" w:hAnsi="宋体" w:eastAsia="宋体" w:cs="宋体"/>
          <w:b/>
          <w:bCs/>
          <w:color w:val="auto"/>
          <w:kern w:val="2"/>
          <w:sz w:val="32"/>
          <w:szCs w:val="32"/>
          <w:lang w:val="en-US" w:eastAsia="zh-CN" w:bidi="ar-SA"/>
        </w:rPr>
      </w:pPr>
      <w:r>
        <w:rPr>
          <w:rFonts w:hint="default" w:ascii="宋体" w:hAnsi="宋体" w:eastAsia="宋体" w:cs="宋体"/>
          <w:b/>
          <w:bCs/>
          <w:color w:val="auto"/>
          <w:kern w:val="2"/>
          <w:sz w:val="32"/>
          <w:szCs w:val="32"/>
          <w:lang w:val="en-US" w:eastAsia="zh-CN" w:bidi="ar-SA"/>
        </w:rPr>
        <w:t>（图2：收入决算结构图）（饼状图）</w:t>
      </w:r>
    </w:p>
    <w:p w14:paraId="4CC190E2">
      <w:pPr>
        <w:pageBreakBefore w:val="0"/>
        <w:kinsoku/>
        <w:wordWrap/>
        <w:overflowPunct/>
        <w:topLinePunct w:val="0"/>
        <w:bidi w:val="0"/>
        <w:spacing w:line="240" w:lineRule="auto"/>
        <w:ind w:firstLine="420" w:firstLineChars="200"/>
        <w:textAlignment w:val="auto"/>
      </w:pPr>
      <w:r>
        <w:rPr>
          <w:rFonts w:hint="default" w:ascii="Times New Roman" w:hAnsi="Times New Roman" w:eastAsia="方正仿宋简体" w:cs="Times New Roman"/>
          <w:lang w:eastAsia="zh-CN"/>
        </w:rPr>
        <w:drawing>
          <wp:inline distT="0" distB="0" distL="114300" distR="114300">
            <wp:extent cx="4725035" cy="3122930"/>
            <wp:effectExtent l="4445" t="4445" r="13970" b="1587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CAC2758">
      <w:pPr>
        <w:pStyle w:val="27"/>
        <w:numPr>
          <w:ilvl w:val="0"/>
          <w:numId w:val="0"/>
        </w:numPr>
        <w:spacing w:line="600" w:lineRule="exact"/>
        <w:ind w:left="640" w:leftChars="0"/>
        <w:outlineLvl w:val="1"/>
        <w:rPr>
          <w:rStyle w:val="29"/>
          <w:rFonts w:ascii="黑体" w:hAnsi="黑体" w:eastAsia="黑体"/>
          <w:b w:val="0"/>
        </w:rPr>
      </w:pPr>
      <w:bookmarkStart w:id="23" w:name="_Toc15396605"/>
      <w:bookmarkStart w:id="24" w:name="_Toc15377207"/>
      <w:r>
        <w:rPr>
          <w:rFonts w:hint="eastAsia" w:ascii="黑体" w:hAnsi="黑体" w:eastAsia="黑体"/>
          <w:sz w:val="32"/>
          <w:szCs w:val="32"/>
          <w:lang w:eastAsia="zh-CN"/>
        </w:rPr>
        <w:t>三、</w:t>
      </w:r>
      <w:r>
        <w:rPr>
          <w:rFonts w:hint="eastAsia" w:ascii="黑体" w:hAnsi="黑体" w:eastAsia="黑体"/>
          <w:sz w:val="32"/>
          <w:szCs w:val="32"/>
        </w:rPr>
        <w:t>支</w:t>
      </w:r>
      <w:r>
        <w:rPr>
          <w:rStyle w:val="29"/>
          <w:rFonts w:hint="eastAsia" w:ascii="黑体" w:hAnsi="黑体" w:eastAsia="黑体"/>
          <w:b w:val="0"/>
        </w:rPr>
        <w:t>出决算情况说明</w:t>
      </w:r>
      <w:bookmarkEnd w:id="23"/>
      <w:bookmarkEnd w:id="24"/>
    </w:p>
    <w:p w14:paraId="6A1A51AB">
      <w:pPr>
        <w:spacing w:line="600" w:lineRule="exact"/>
        <w:ind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2023</w:t>
      </w:r>
      <w:r>
        <w:rPr>
          <w:rFonts w:hint="eastAsia" w:ascii="仿宋_GB2312" w:hAnsi="仿宋_GB2312" w:eastAsia="仿宋_GB2312" w:cs="仿宋_GB2312"/>
          <w:sz w:val="32"/>
          <w:szCs w:val="32"/>
        </w:rPr>
        <w:t>年本年支出合计</w:t>
      </w:r>
      <w:r>
        <w:rPr>
          <w:rFonts w:hint="eastAsia" w:ascii="仿宋_GB2312" w:hAnsi="仿宋_GB2312" w:eastAsia="仿宋_GB2312" w:cs="仿宋_GB2312"/>
          <w:sz w:val="32"/>
          <w:szCs w:val="32"/>
          <w:lang w:val="en-US" w:eastAsia="zh-CN"/>
        </w:rPr>
        <w:t>1262.94</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sz w:val="32"/>
          <w:szCs w:val="32"/>
          <w:lang w:val="en-US" w:eastAsia="zh-CN"/>
        </w:rPr>
        <w:t>544.36</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43.1</w:t>
      </w:r>
      <w:r>
        <w:rPr>
          <w:rFonts w:hint="eastAsia" w:ascii="仿宋_GB2312" w:hAnsi="仿宋_GB2312" w:eastAsia="仿宋_GB2312" w:cs="仿宋_GB2312"/>
          <w:sz w:val="32"/>
          <w:szCs w:val="32"/>
        </w:rPr>
        <w:t>%；项目支出</w:t>
      </w:r>
      <w:r>
        <w:rPr>
          <w:rFonts w:hint="eastAsia" w:ascii="仿宋_GB2312" w:hAnsi="仿宋_GB2312" w:eastAsia="仿宋_GB2312" w:cs="仿宋_GB2312"/>
          <w:sz w:val="32"/>
          <w:szCs w:val="32"/>
          <w:lang w:val="en-US" w:eastAsia="zh-CN"/>
        </w:rPr>
        <w:t>718.58</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56.9</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p>
    <w:p w14:paraId="67117A3A">
      <w:pPr>
        <w:pageBreakBefore w:val="0"/>
        <w:kinsoku/>
        <w:wordWrap/>
        <w:overflowPunct/>
        <w:topLinePunct w:val="0"/>
        <w:bidi w:val="0"/>
        <w:spacing w:line="240" w:lineRule="auto"/>
        <w:ind w:right="0" w:firstLine="321" w:firstLineChars="100"/>
        <w:jc w:val="center"/>
        <w:textAlignment w:val="auto"/>
        <w:outlineLvl w:val="1"/>
        <w:rPr>
          <w:rFonts w:hint="default" w:ascii="宋体" w:hAnsi="宋体" w:eastAsia="宋体" w:cs="宋体"/>
          <w:b/>
          <w:bCs/>
          <w:color w:val="auto"/>
          <w:kern w:val="2"/>
          <w:sz w:val="32"/>
          <w:szCs w:val="32"/>
          <w:lang w:val="en-US" w:eastAsia="zh-CN" w:bidi="ar-SA"/>
        </w:rPr>
      </w:pPr>
      <w:r>
        <w:rPr>
          <w:rFonts w:hint="default" w:ascii="宋体" w:hAnsi="宋体" w:eastAsia="宋体" w:cs="宋体"/>
          <w:b/>
          <w:bCs/>
          <w:color w:val="auto"/>
          <w:kern w:val="2"/>
          <w:sz w:val="32"/>
          <w:szCs w:val="32"/>
          <w:lang w:val="en-US" w:eastAsia="zh-CN" w:bidi="ar-SA"/>
        </w:rPr>
        <w:t>（图3：支出决算结构图）（饼状图）</w:t>
      </w:r>
    </w:p>
    <w:p w14:paraId="7FAFD387">
      <w:pPr>
        <w:pStyle w:val="2"/>
        <w:jc w:val="center"/>
        <w:rPr>
          <w:sz w:val="32"/>
          <w:szCs w:val="32"/>
        </w:rPr>
      </w:pPr>
      <w:r>
        <w:rPr>
          <w:rFonts w:hint="default"/>
          <w:lang w:val="en-US" w:eastAsia="zh-CN"/>
        </w:rPr>
        <w:drawing>
          <wp:inline distT="0" distB="0" distL="114300" distR="114300">
            <wp:extent cx="4716780" cy="2519680"/>
            <wp:effectExtent l="4445" t="4445" r="22225" b="9525"/>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9C09C9B">
      <w:pPr>
        <w:spacing w:line="600" w:lineRule="exact"/>
        <w:ind w:firstLine="640" w:firstLineChars="200"/>
        <w:outlineLvl w:val="1"/>
        <w:rPr>
          <w:rStyle w:val="29"/>
          <w:rFonts w:ascii="黑体" w:hAnsi="黑体" w:eastAsia="黑体"/>
          <w:b w:val="0"/>
        </w:rPr>
      </w:pPr>
      <w:bookmarkStart w:id="25" w:name="_Toc15377208"/>
      <w:bookmarkStart w:id="26" w:name="_Toc15396606"/>
      <w:r>
        <w:rPr>
          <w:rFonts w:hint="eastAsia" w:ascii="黑体" w:hAnsi="黑体" w:eastAsia="黑体"/>
          <w:sz w:val="32"/>
          <w:szCs w:val="32"/>
        </w:rPr>
        <w:t>四、财</w:t>
      </w:r>
      <w:r>
        <w:rPr>
          <w:rStyle w:val="29"/>
          <w:rFonts w:hint="eastAsia" w:ascii="黑体" w:hAnsi="黑体" w:eastAsia="黑体"/>
          <w:b w:val="0"/>
        </w:rPr>
        <w:t>政拨款收入支出决算总体情况说明</w:t>
      </w:r>
      <w:bookmarkEnd w:id="25"/>
      <w:bookmarkEnd w:id="26"/>
    </w:p>
    <w:p w14:paraId="4778D8ED">
      <w:pPr>
        <w:pageBreakBefore w:val="0"/>
        <w:kinsoku/>
        <w:wordWrap/>
        <w:overflowPunct/>
        <w:topLinePunct w:val="0"/>
        <w:bidi w:val="0"/>
        <w:spacing w:line="580" w:lineRule="exact"/>
        <w:ind w:left="0" w:right="0" w:firstLine="640" w:firstLineChars="200"/>
        <w:textAlignment w:val="auto"/>
        <w:outlineLvl w:val="1"/>
        <w:rPr>
          <w:rFonts w:hint="eastAsia" w:ascii="仿宋" w:hAnsi="仿宋" w:eastAsia="仿宋"/>
          <w:sz w:val="32"/>
          <w:szCs w:val="32"/>
          <w:lang w:val="en-US" w:eastAsia="zh-CN"/>
        </w:rPr>
      </w:pPr>
      <w:r>
        <w:rPr>
          <w:rFonts w:hint="eastAsia" w:ascii="仿宋_GB2312" w:hAnsi="仿宋_GB2312" w:eastAsia="仿宋_GB2312" w:cs="仿宋_GB2312"/>
          <w:sz w:val="32"/>
          <w:szCs w:val="32"/>
          <w:lang w:eastAsia="zh-CN"/>
        </w:rPr>
        <w:t>2023</w:t>
      </w:r>
      <w:r>
        <w:rPr>
          <w:rFonts w:hint="eastAsia" w:ascii="仿宋_GB2312" w:hAnsi="仿宋_GB2312" w:eastAsia="仿宋_GB2312" w:cs="仿宋_GB2312"/>
          <w:sz w:val="32"/>
          <w:szCs w:val="32"/>
        </w:rPr>
        <w:t>年财政拨款收、支总计</w:t>
      </w:r>
      <w:r>
        <w:rPr>
          <w:rFonts w:hint="eastAsia" w:ascii="仿宋_GB2312" w:hAnsi="仿宋_GB2312" w:eastAsia="仿宋_GB2312" w:cs="仿宋_GB2312"/>
          <w:sz w:val="32"/>
          <w:szCs w:val="32"/>
          <w:lang w:eastAsia="zh-CN"/>
        </w:rPr>
        <w:t>均为</w:t>
      </w:r>
      <w:r>
        <w:rPr>
          <w:rFonts w:hint="eastAsia" w:ascii="仿宋_GB2312" w:hAnsi="仿宋_GB2312" w:eastAsia="仿宋_GB2312" w:cs="仿宋_GB2312"/>
          <w:sz w:val="32"/>
          <w:szCs w:val="32"/>
          <w:lang w:val="en-US" w:eastAsia="zh-CN"/>
        </w:rPr>
        <w:t>1262.94</w:t>
      </w:r>
      <w:r>
        <w:rPr>
          <w:rFonts w:hint="eastAsia" w:ascii="仿宋_GB2312" w:hAnsi="仿宋_GB2312" w:eastAsia="仿宋_GB2312" w:cs="仿宋_GB2312"/>
          <w:sz w:val="32"/>
          <w:szCs w:val="32"/>
        </w:rPr>
        <w:t>万元。与202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年相比，财政拨款收、支总计各增加</w:t>
      </w:r>
      <w:r>
        <w:rPr>
          <w:rFonts w:hint="eastAsia" w:ascii="仿宋_GB2312" w:hAnsi="仿宋_GB2312" w:eastAsia="仿宋_GB2312" w:cs="仿宋_GB2312"/>
          <w:sz w:val="32"/>
          <w:szCs w:val="32"/>
          <w:lang w:val="en-US" w:eastAsia="zh-CN"/>
        </w:rPr>
        <w:t>735.36</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139.38</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增加的主要原因是新增新冠患者救治资金704.83万元。</w:t>
      </w:r>
      <w:r>
        <w:rPr>
          <w:rFonts w:hint="eastAsia" w:ascii="仿宋" w:hAnsi="仿宋" w:eastAsia="仿宋"/>
          <w:sz w:val="32"/>
          <w:szCs w:val="32"/>
          <w:lang w:val="en-US" w:eastAsia="zh-CN"/>
        </w:rPr>
        <w:t xml:space="preserve">       </w:t>
      </w:r>
    </w:p>
    <w:p w14:paraId="65A733FF">
      <w:pPr>
        <w:pageBreakBefore w:val="0"/>
        <w:kinsoku/>
        <w:wordWrap/>
        <w:overflowPunct/>
        <w:topLinePunct w:val="0"/>
        <w:bidi w:val="0"/>
        <w:spacing w:line="240" w:lineRule="auto"/>
        <w:ind w:right="0" w:firstLine="321" w:firstLineChars="100"/>
        <w:textAlignment w:val="auto"/>
        <w:outlineLvl w:val="1"/>
        <w:rPr>
          <w:rFonts w:hint="eastAsia" w:ascii="Times New Roman" w:hAnsi="Times New Roman" w:eastAsia="仿宋_GB2312" w:cs="Times New Roman"/>
          <w:color w:val="auto"/>
          <w:sz w:val="32"/>
          <w:szCs w:val="32"/>
          <w:highlight w:val="none"/>
          <w:lang w:eastAsia="zh-CN"/>
        </w:rPr>
      </w:pPr>
      <w:r>
        <w:rPr>
          <w:rFonts w:hint="eastAsia" w:ascii="宋体" w:hAnsi="宋体" w:eastAsia="宋体" w:cs="宋体"/>
          <w:b/>
          <w:bCs/>
          <w:color w:val="auto"/>
          <w:kern w:val="2"/>
          <w:sz w:val="32"/>
          <w:szCs w:val="32"/>
          <w:lang w:val="en-US" w:eastAsia="zh-CN" w:bidi="ar-SA"/>
        </w:rPr>
        <w:t>（图4：财政拨款收、支决算总计变动情况）（柱状图）</w:t>
      </w:r>
    </w:p>
    <w:p w14:paraId="67EB9F7B">
      <w:pPr>
        <w:jc w:val="center"/>
        <w:rPr>
          <w:rFonts w:hint="eastAsia"/>
          <w:lang w:eastAsia="zh-CN"/>
        </w:rPr>
      </w:pPr>
      <w:r>
        <w:rPr>
          <w:rFonts w:hint="eastAsia"/>
          <w:lang w:eastAsia="zh-CN"/>
        </w:rPr>
        <w:drawing>
          <wp:inline distT="0" distB="0" distL="114300" distR="114300">
            <wp:extent cx="4559300" cy="2916555"/>
            <wp:effectExtent l="4445" t="4445" r="8255" b="1270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CDA4CE6">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outlineLvl w:val="1"/>
        <w:rPr>
          <w:rStyle w:val="29"/>
          <w:rFonts w:ascii="黑体" w:hAnsi="黑体" w:eastAsia="黑体"/>
          <w:b w:val="0"/>
        </w:rPr>
      </w:pPr>
      <w:bookmarkStart w:id="27" w:name="_Toc15396607"/>
      <w:bookmarkStart w:id="28" w:name="_Toc15377209"/>
      <w:r>
        <w:rPr>
          <w:rFonts w:hint="eastAsia" w:ascii="黑体" w:hAnsi="黑体" w:eastAsia="黑体"/>
          <w:sz w:val="32"/>
          <w:szCs w:val="32"/>
        </w:rPr>
        <w:t>五、</w:t>
      </w:r>
      <w:r>
        <w:rPr>
          <w:rFonts w:hint="eastAsia" w:ascii="黑体" w:hAnsi="黑体" w:eastAsia="黑体"/>
          <w:b/>
          <w:sz w:val="32"/>
          <w:szCs w:val="32"/>
        </w:rPr>
        <w:t>一</w:t>
      </w:r>
      <w:r>
        <w:rPr>
          <w:rStyle w:val="29"/>
          <w:rFonts w:hint="eastAsia" w:ascii="黑体" w:hAnsi="黑体" w:eastAsia="黑体"/>
          <w:b w:val="0"/>
        </w:rPr>
        <w:t>般公共预算财政拨款支出决算情况说明</w:t>
      </w:r>
      <w:bookmarkEnd w:id="27"/>
      <w:bookmarkEnd w:id="28"/>
    </w:p>
    <w:p w14:paraId="5253C335">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outlineLvl w:val="2"/>
        <w:rPr>
          <w:rFonts w:hint="eastAsia" w:ascii="楷体_GB2312" w:hAnsi="楷体_GB2312" w:eastAsia="楷体_GB2312" w:cs="楷体_GB2312"/>
          <w:b/>
          <w:sz w:val="32"/>
          <w:szCs w:val="32"/>
        </w:rPr>
      </w:pPr>
      <w:bookmarkStart w:id="29" w:name="_Toc15377210"/>
      <w:r>
        <w:rPr>
          <w:rFonts w:hint="eastAsia" w:ascii="楷体_GB2312" w:hAnsi="楷体_GB2312" w:eastAsia="楷体_GB2312" w:cs="楷体_GB2312"/>
          <w:b/>
          <w:sz w:val="32"/>
          <w:szCs w:val="32"/>
        </w:rPr>
        <w:t>（一）一般公共预算财政拨款支出决算总体情况</w:t>
      </w:r>
      <w:bookmarkEnd w:id="29"/>
    </w:p>
    <w:p w14:paraId="51368F08">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2023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度</w:t>
      </w:r>
      <w:r>
        <w:rPr>
          <w:rFonts w:hint="eastAsia" w:ascii="仿宋_GB2312" w:hAnsi="仿宋_GB2312" w:eastAsia="仿宋_GB2312" w:cs="仿宋_GB2312"/>
          <w:sz w:val="32"/>
          <w:szCs w:val="32"/>
        </w:rPr>
        <w:t>一般公共预算财政拨款支出</w:t>
      </w:r>
      <w:r>
        <w:rPr>
          <w:rFonts w:hint="eastAsia" w:ascii="仿宋_GB2312" w:hAnsi="仿宋_GB2312" w:eastAsia="仿宋_GB2312" w:cs="仿宋_GB2312"/>
          <w:sz w:val="32"/>
          <w:szCs w:val="32"/>
          <w:lang w:val="en-US" w:eastAsia="zh-CN"/>
        </w:rPr>
        <w:t>1258.42</w:t>
      </w:r>
      <w:r>
        <w:rPr>
          <w:rFonts w:hint="eastAsia" w:ascii="仿宋_GB2312" w:hAnsi="仿宋_GB2312" w:eastAsia="仿宋_GB2312" w:cs="仿宋_GB2312"/>
          <w:sz w:val="32"/>
          <w:szCs w:val="32"/>
        </w:rPr>
        <w:t>万元，占本年支出合计的</w:t>
      </w:r>
      <w:r>
        <w:rPr>
          <w:rFonts w:hint="eastAsia" w:ascii="仿宋_GB2312" w:hAnsi="仿宋_GB2312" w:eastAsia="仿宋_GB2312" w:cs="仿宋_GB2312"/>
          <w:sz w:val="32"/>
          <w:szCs w:val="32"/>
          <w:lang w:val="en-US" w:eastAsia="zh-CN"/>
        </w:rPr>
        <w:t>99.64</w:t>
      </w:r>
      <w:r>
        <w:rPr>
          <w:rFonts w:hint="eastAsia" w:ascii="仿宋_GB2312" w:hAnsi="仿宋_GB2312" w:eastAsia="仿宋_GB2312" w:cs="仿宋_GB2312"/>
          <w:sz w:val="32"/>
          <w:szCs w:val="32"/>
        </w:rPr>
        <w:t>%。与202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年相比，一般公共预算财政拨款支出增加</w:t>
      </w:r>
      <w:r>
        <w:rPr>
          <w:rFonts w:hint="eastAsia" w:ascii="仿宋_GB2312" w:hAnsi="仿宋_GB2312" w:eastAsia="仿宋_GB2312" w:cs="仿宋_GB2312"/>
          <w:sz w:val="32"/>
          <w:szCs w:val="32"/>
          <w:lang w:val="en-US" w:eastAsia="zh-CN"/>
        </w:rPr>
        <w:t>730.84</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138.53</w:t>
      </w:r>
      <w:r>
        <w:rPr>
          <w:rFonts w:hint="eastAsia" w:ascii="仿宋_GB2312" w:hAnsi="仿宋_GB2312" w:eastAsia="仿宋_GB2312" w:cs="仿宋_GB2312"/>
          <w:sz w:val="32"/>
          <w:szCs w:val="32"/>
        </w:rPr>
        <w:t>%。主要变动原因是</w:t>
      </w:r>
      <w:r>
        <w:rPr>
          <w:rFonts w:hint="eastAsia" w:ascii="仿宋_GB2312" w:hAnsi="仿宋_GB2312" w:eastAsia="仿宋_GB2312" w:cs="仿宋_GB2312"/>
          <w:sz w:val="32"/>
          <w:szCs w:val="32"/>
          <w:lang w:val="en-US" w:eastAsia="zh-CN"/>
        </w:rPr>
        <w:t>增加了新冠患者救治资金704.83万元</w:t>
      </w:r>
      <w:r>
        <w:rPr>
          <w:rFonts w:hint="eastAsia" w:ascii="仿宋_GB2312" w:hAnsi="仿宋_GB2312" w:eastAsia="仿宋_GB2312" w:cs="仿宋_GB2312"/>
          <w:sz w:val="32"/>
          <w:szCs w:val="32"/>
        </w:rPr>
        <w:t>。</w:t>
      </w:r>
    </w:p>
    <w:p w14:paraId="4AB58F0E">
      <w:pPr>
        <w:keepNext w:val="0"/>
        <w:keepLines w:val="0"/>
        <w:pageBreakBefore w:val="0"/>
        <w:widowControl w:val="0"/>
        <w:kinsoku/>
        <w:wordWrap/>
        <w:overflowPunct/>
        <w:topLinePunct w:val="0"/>
        <w:autoSpaceDE/>
        <w:autoSpaceDN/>
        <w:bidi w:val="0"/>
        <w:adjustRightInd/>
        <w:snapToGrid/>
        <w:spacing w:line="640" w:lineRule="exact"/>
        <w:ind w:firstLine="563" w:firstLineChars="200"/>
        <w:textAlignment w:val="auto"/>
        <w:rPr>
          <w:rFonts w:ascii="仿宋" w:hAnsi="仿宋" w:eastAsia="仿宋"/>
          <w:b/>
          <w:bCs/>
          <w:spacing w:val="-20"/>
          <w:sz w:val="32"/>
          <w:szCs w:val="32"/>
        </w:rPr>
      </w:pPr>
      <w:r>
        <w:rPr>
          <w:rFonts w:hint="eastAsia" w:ascii="宋体" w:hAnsi="宋体" w:eastAsia="宋体" w:cs="宋体"/>
          <w:b/>
          <w:bCs/>
          <w:color w:val="auto"/>
          <w:spacing w:val="-20"/>
          <w:kern w:val="2"/>
          <w:sz w:val="32"/>
          <w:szCs w:val="32"/>
          <w:lang w:val="en-US" w:eastAsia="zh-CN" w:bidi="ar-SA"/>
        </w:rPr>
        <w:t>（图5：一般公共预算财政拨款支出决算变动情况）（柱状图）</w:t>
      </w:r>
    </w:p>
    <w:p w14:paraId="04362E62">
      <w:pPr>
        <w:pStyle w:val="2"/>
        <w:spacing w:before="93"/>
        <w:jc w:val="both"/>
        <w:rPr>
          <w:rFonts w:hint="eastAsia" w:ascii="仿宋" w:hAnsi="仿宋" w:eastAsia="仿宋"/>
          <w:sz w:val="32"/>
          <w:szCs w:val="32"/>
          <w:lang w:eastAsia="zh-CN"/>
        </w:rPr>
      </w:pPr>
      <w:r>
        <w:rPr>
          <w:rFonts w:hint="eastAsia" w:ascii="仿宋" w:hAnsi="仿宋" w:eastAsia="仿宋"/>
          <w:sz w:val="32"/>
          <w:szCs w:val="32"/>
          <w:lang w:val="en-US" w:eastAsia="zh-CN"/>
        </w:rPr>
        <w:t xml:space="preserve">     </w:t>
      </w:r>
      <w:r>
        <w:rPr>
          <w:rFonts w:hint="eastAsia" w:ascii="仿宋" w:hAnsi="仿宋" w:eastAsia="仿宋"/>
          <w:sz w:val="32"/>
          <w:szCs w:val="32"/>
          <w:lang w:eastAsia="zh-CN"/>
        </w:rPr>
        <w:drawing>
          <wp:inline distT="0" distB="0" distL="114300" distR="114300">
            <wp:extent cx="4274185" cy="2924810"/>
            <wp:effectExtent l="4445" t="4445" r="7620" b="2349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1E888F0">
      <w:pPr>
        <w:spacing w:line="600" w:lineRule="exact"/>
        <w:ind w:firstLine="643" w:firstLineChars="200"/>
        <w:outlineLvl w:val="2"/>
        <w:rPr>
          <w:rFonts w:hint="eastAsia" w:ascii="楷体_GB2312" w:hAnsi="楷体_GB2312" w:eastAsia="楷体_GB2312" w:cs="楷体_GB2312"/>
          <w:b/>
          <w:sz w:val="32"/>
          <w:szCs w:val="32"/>
        </w:rPr>
      </w:pPr>
      <w:bookmarkStart w:id="30" w:name="_Toc15377211"/>
      <w:r>
        <w:rPr>
          <w:rFonts w:hint="eastAsia" w:ascii="楷体_GB2312" w:hAnsi="楷体_GB2312" w:eastAsia="楷体_GB2312" w:cs="楷体_GB2312"/>
          <w:b/>
          <w:sz w:val="32"/>
          <w:szCs w:val="32"/>
        </w:rPr>
        <w:t>（二）一般公共预算财政拨款支出决算结构情况</w:t>
      </w:r>
      <w:bookmarkEnd w:id="30"/>
    </w:p>
    <w:p w14:paraId="71FBBD87">
      <w:pPr>
        <w:spacing w:line="600" w:lineRule="exact"/>
        <w:ind w:firstLine="64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2023</w:t>
      </w:r>
      <w:r>
        <w:rPr>
          <w:rFonts w:hint="eastAsia" w:ascii="仿宋_GB2312" w:hAnsi="仿宋_GB2312" w:eastAsia="仿宋_GB2312" w:cs="仿宋_GB2312"/>
          <w:sz w:val="32"/>
          <w:szCs w:val="32"/>
        </w:rPr>
        <w:t>年一般公共预算财政拨款支出</w:t>
      </w:r>
      <w:r>
        <w:rPr>
          <w:rFonts w:hint="eastAsia" w:ascii="仿宋_GB2312" w:hAnsi="仿宋_GB2312" w:eastAsia="仿宋_GB2312" w:cs="仿宋_GB2312"/>
          <w:sz w:val="32"/>
          <w:szCs w:val="32"/>
          <w:lang w:val="en-US" w:eastAsia="zh-CN"/>
        </w:rPr>
        <w:t>1258.42</w:t>
      </w:r>
      <w:r>
        <w:rPr>
          <w:rFonts w:hint="eastAsia" w:ascii="仿宋_GB2312" w:hAnsi="仿宋_GB2312" w:eastAsia="仿宋_GB2312" w:cs="仿宋_GB2312"/>
          <w:sz w:val="32"/>
          <w:szCs w:val="32"/>
        </w:rPr>
        <w:t>万元，主要用于以下方面</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sz w:val="32"/>
          <w:szCs w:val="32"/>
        </w:rPr>
        <w:t>社会保障和就业</w:t>
      </w:r>
      <w:r>
        <w:rPr>
          <w:rFonts w:hint="eastAsia" w:ascii="仿宋_GB2312" w:hAnsi="仿宋_GB2312" w:eastAsia="仿宋_GB2312" w:cs="仿宋_GB2312"/>
          <w:b/>
          <w:bCs/>
          <w:sz w:val="32"/>
          <w:szCs w:val="32"/>
        </w:rPr>
        <w:t>支出</w:t>
      </w:r>
      <w:r>
        <w:rPr>
          <w:rFonts w:hint="eastAsia" w:ascii="仿宋_GB2312" w:hAnsi="仿宋_GB2312" w:eastAsia="仿宋_GB2312" w:cs="仿宋_GB2312"/>
          <w:sz w:val="32"/>
          <w:szCs w:val="32"/>
          <w:lang w:val="en-US" w:eastAsia="zh-CN"/>
        </w:rPr>
        <w:t>0.28</w:t>
      </w:r>
      <w:r>
        <w:rPr>
          <w:rFonts w:hint="eastAsia" w:ascii="仿宋_GB2312" w:hAnsi="仿宋_GB2312" w:eastAsia="仿宋_GB2312" w:cs="仿宋_GB2312"/>
          <w:sz w:val="32"/>
          <w:szCs w:val="32"/>
          <w:lang w:eastAsia="zh-CN"/>
        </w:rPr>
        <w:t>万元，占0.</w:t>
      </w:r>
      <w:r>
        <w:rPr>
          <w:rFonts w:hint="eastAsia" w:ascii="仿宋_GB2312" w:hAnsi="仿宋_GB2312" w:eastAsia="仿宋_GB2312" w:cs="仿宋_GB2312"/>
          <w:sz w:val="32"/>
          <w:szCs w:val="32"/>
          <w:lang w:val="en-US" w:eastAsia="zh-CN"/>
        </w:rPr>
        <w:t>02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sz w:val="32"/>
          <w:szCs w:val="32"/>
        </w:rPr>
        <w:t>卫生健康支出</w:t>
      </w:r>
      <w:r>
        <w:rPr>
          <w:rFonts w:hint="eastAsia" w:ascii="仿宋_GB2312" w:hAnsi="仿宋_GB2312" w:eastAsia="仿宋_GB2312" w:cs="仿宋_GB2312"/>
          <w:sz w:val="32"/>
          <w:szCs w:val="32"/>
          <w:lang w:val="en-US" w:eastAsia="zh-CN"/>
        </w:rPr>
        <w:t>1256.15</w:t>
      </w:r>
      <w:r>
        <w:rPr>
          <w:rFonts w:hint="eastAsia" w:ascii="仿宋_GB2312" w:hAnsi="仿宋_GB2312" w:eastAsia="仿宋_GB2312" w:cs="仿宋_GB2312"/>
          <w:sz w:val="32"/>
          <w:szCs w:val="32"/>
          <w:lang w:eastAsia="zh-CN"/>
        </w:rPr>
        <w:t>万元，占</w:t>
      </w:r>
      <w:r>
        <w:rPr>
          <w:rFonts w:hint="eastAsia" w:ascii="仿宋_GB2312" w:hAnsi="仿宋_GB2312" w:eastAsia="仿宋_GB2312" w:cs="仿宋_GB2312"/>
          <w:sz w:val="32"/>
          <w:szCs w:val="32"/>
          <w:lang w:val="en-US" w:eastAsia="zh-CN"/>
        </w:rPr>
        <w:t>99.82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sz w:val="32"/>
          <w:szCs w:val="32"/>
          <w:lang w:val="en-US" w:eastAsia="zh-CN"/>
        </w:rPr>
        <w:t>农林水支出</w:t>
      </w:r>
      <w:r>
        <w:rPr>
          <w:rFonts w:hint="eastAsia" w:ascii="仿宋_GB2312" w:hAnsi="仿宋_GB2312" w:eastAsia="仿宋_GB2312" w:cs="仿宋_GB2312"/>
          <w:sz w:val="32"/>
          <w:szCs w:val="32"/>
          <w:lang w:val="en-US" w:eastAsia="zh-CN"/>
        </w:rPr>
        <w:t>0.5万元，占0.04%;</w:t>
      </w:r>
      <w:r>
        <w:rPr>
          <w:rFonts w:hint="eastAsia" w:ascii="仿宋_GB2312" w:hAnsi="仿宋_GB2312" w:eastAsia="仿宋_GB2312" w:cs="仿宋_GB2312"/>
          <w:b/>
          <w:sz w:val="32"/>
          <w:szCs w:val="32"/>
          <w:lang w:val="en-US" w:eastAsia="zh-CN"/>
        </w:rPr>
        <w:t>住房保障支出</w:t>
      </w:r>
      <w:r>
        <w:rPr>
          <w:rFonts w:hint="eastAsia" w:ascii="仿宋_GB2312" w:hAnsi="仿宋_GB2312" w:eastAsia="仿宋_GB2312" w:cs="仿宋_GB2312"/>
          <w:sz w:val="32"/>
          <w:szCs w:val="32"/>
          <w:lang w:val="en-US" w:eastAsia="zh-CN"/>
        </w:rPr>
        <w:t>1.5万元，占0.12%。</w:t>
      </w:r>
    </w:p>
    <w:p w14:paraId="1E9BD736">
      <w:pPr>
        <w:pageBreakBefore w:val="0"/>
        <w:kinsoku/>
        <w:wordWrap/>
        <w:overflowPunct/>
        <w:topLinePunct w:val="0"/>
        <w:bidi w:val="0"/>
        <w:spacing w:line="240" w:lineRule="auto"/>
        <w:ind w:right="0" w:firstLine="321" w:firstLineChars="100"/>
        <w:textAlignment w:val="auto"/>
        <w:outlineLvl w:val="1"/>
        <w:rPr>
          <w:rFonts w:hint="default" w:ascii="宋体" w:hAnsi="宋体" w:eastAsia="宋体" w:cs="宋体"/>
          <w:b/>
          <w:bCs/>
          <w:color w:val="auto"/>
          <w:kern w:val="2"/>
          <w:sz w:val="32"/>
          <w:szCs w:val="32"/>
          <w:lang w:val="en-US" w:eastAsia="zh-CN" w:bidi="ar-SA"/>
        </w:rPr>
      </w:pPr>
      <w:r>
        <w:rPr>
          <w:rFonts w:hint="default" w:ascii="宋体" w:hAnsi="宋体" w:eastAsia="宋体" w:cs="宋体"/>
          <w:b/>
          <w:bCs/>
          <w:color w:val="auto"/>
          <w:kern w:val="2"/>
          <w:sz w:val="32"/>
          <w:szCs w:val="32"/>
          <w:lang w:val="en-US" w:eastAsia="zh-CN" w:bidi="ar-SA"/>
        </w:rPr>
        <w:t>（图6：一般公共预算财政拨款支出决算结构）（饼状图）</w:t>
      </w:r>
    </w:p>
    <w:p w14:paraId="4521BB3C">
      <w:pPr>
        <w:pStyle w:val="2"/>
        <w:jc w:val="center"/>
        <w:rPr>
          <w:rFonts w:ascii="仿宋" w:hAnsi="仿宋" w:eastAsia="仿宋"/>
          <w:sz w:val="32"/>
          <w:szCs w:val="32"/>
        </w:rPr>
      </w:pPr>
      <w:r>
        <w:rPr>
          <w:rFonts w:hint="default" w:ascii="Times New Roman" w:hAnsi="Times New Roman" w:eastAsia="方正仿宋简体" w:cs="Times New Roman"/>
          <w:b/>
          <w:bCs/>
          <w:color w:val="auto"/>
          <w:kern w:val="2"/>
          <w:sz w:val="32"/>
          <w:szCs w:val="32"/>
          <w:lang w:val="en-US" w:eastAsia="zh-CN" w:bidi="ar-SA"/>
        </w:rPr>
        <w:drawing>
          <wp:inline distT="0" distB="0" distL="114300" distR="114300">
            <wp:extent cx="4182110" cy="2760980"/>
            <wp:effectExtent l="4445" t="5080" r="23495" b="15240"/>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A918945">
      <w:pPr>
        <w:spacing w:line="600" w:lineRule="exact"/>
        <w:ind w:firstLine="643" w:firstLineChars="200"/>
        <w:outlineLvl w:val="2"/>
        <w:rPr>
          <w:rFonts w:hint="eastAsia" w:ascii="楷体_GB2312" w:hAnsi="楷体_GB2312" w:eastAsia="楷体_GB2312" w:cs="楷体_GB2312"/>
          <w:b/>
          <w:sz w:val="32"/>
          <w:szCs w:val="32"/>
        </w:rPr>
      </w:pPr>
      <w:bookmarkStart w:id="31" w:name="_Toc15377212"/>
    </w:p>
    <w:p w14:paraId="0D9E1917">
      <w:pPr>
        <w:spacing w:line="600" w:lineRule="exact"/>
        <w:ind w:firstLine="643" w:firstLineChars="200"/>
        <w:outlineLvl w:val="2"/>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（三）一般公共预算财政拨款支出决算具体情况</w:t>
      </w:r>
      <w:bookmarkEnd w:id="31"/>
    </w:p>
    <w:p w14:paraId="05E54A18">
      <w:pPr>
        <w:spacing w:line="600" w:lineRule="exact"/>
        <w:ind w:firstLine="640" w:firstLineChars="200"/>
        <w:outlineLvl w:val="2"/>
        <w:rPr>
          <w:rFonts w:hint="eastAsia" w:ascii="仿宋_GB2312" w:hAnsi="仿宋_GB2312" w:eastAsia="仿宋_GB2312" w:cs="仿宋_GB2312"/>
          <w:b w:val="0"/>
          <w:bCs/>
          <w:sz w:val="32"/>
          <w:szCs w:val="32"/>
        </w:rPr>
      </w:pPr>
      <w:bookmarkStart w:id="32" w:name="_Toc15378460"/>
      <w:bookmarkStart w:id="33" w:name="_Toc15377213"/>
      <w:bookmarkStart w:id="34" w:name="_Toc15377444"/>
      <w:r>
        <w:rPr>
          <w:rFonts w:hint="eastAsia" w:ascii="仿宋_GB2312" w:hAnsi="仿宋_GB2312" w:eastAsia="仿宋_GB2312" w:cs="仿宋_GB2312"/>
          <w:b w:val="0"/>
          <w:bCs/>
          <w:sz w:val="32"/>
          <w:szCs w:val="32"/>
          <w:lang w:eastAsia="zh-CN"/>
        </w:rPr>
        <w:t>2023</w:t>
      </w:r>
      <w:r>
        <w:rPr>
          <w:rFonts w:hint="eastAsia" w:ascii="仿宋_GB2312" w:hAnsi="仿宋_GB2312" w:eastAsia="仿宋_GB2312" w:cs="仿宋_GB2312"/>
          <w:b w:val="0"/>
          <w:bCs/>
          <w:sz w:val="32"/>
          <w:szCs w:val="32"/>
        </w:rPr>
        <w:t>年一般公共预算支出决算数为</w:t>
      </w:r>
      <w:r>
        <w:rPr>
          <w:rFonts w:hint="eastAsia" w:ascii="仿宋_GB2312" w:hAnsi="仿宋_GB2312" w:eastAsia="仿宋_GB2312" w:cs="仿宋_GB2312"/>
          <w:b w:val="0"/>
          <w:bCs/>
          <w:sz w:val="32"/>
          <w:szCs w:val="32"/>
          <w:lang w:val="en-US" w:eastAsia="zh-CN"/>
        </w:rPr>
        <w:t>1258.42万元</w:t>
      </w:r>
      <w:r>
        <w:rPr>
          <w:rFonts w:hint="eastAsia" w:ascii="仿宋_GB2312" w:hAnsi="仿宋_GB2312" w:eastAsia="仿宋_GB2312" w:cs="仿宋_GB2312"/>
          <w:b w:val="0"/>
          <w:bCs/>
          <w:sz w:val="32"/>
          <w:szCs w:val="32"/>
        </w:rPr>
        <w:t>，</w:t>
      </w:r>
      <w:r>
        <w:rPr>
          <w:rStyle w:val="17"/>
          <w:rFonts w:hint="eastAsia" w:ascii="仿宋_GB2312" w:hAnsi="仿宋_GB2312" w:eastAsia="仿宋_GB2312" w:cs="仿宋_GB2312"/>
          <w:b w:val="0"/>
          <w:bCs/>
          <w:sz w:val="32"/>
          <w:szCs w:val="32"/>
        </w:rPr>
        <w:t>完成预算100%。其中：</w:t>
      </w:r>
      <w:bookmarkEnd w:id="32"/>
      <w:bookmarkEnd w:id="33"/>
      <w:bookmarkEnd w:id="34"/>
    </w:p>
    <w:p w14:paraId="6AEA6708">
      <w:pPr>
        <w:numPr>
          <w:ilvl w:val="0"/>
          <w:numId w:val="0"/>
        </w:numPr>
        <w:spacing w:line="600" w:lineRule="exact"/>
        <w:ind w:firstLine="643" w:firstLineChars="200"/>
        <w:rPr>
          <w:rFonts w:hint="eastAsia" w:ascii="仿宋_GB2312" w:hAnsi="仿宋_GB2312" w:eastAsia="仿宋_GB2312" w:cs="仿宋_GB2312"/>
          <w:b w:val="0"/>
          <w:bCs/>
          <w:sz w:val="32"/>
          <w:szCs w:val="32"/>
          <w:lang w:eastAsia="zh-CN"/>
        </w:rPr>
      </w:pPr>
      <w:r>
        <w:rPr>
          <w:rStyle w:val="17"/>
          <w:rFonts w:hint="eastAsia" w:ascii="仿宋_GB2312" w:hAnsi="仿宋_GB2312" w:eastAsia="仿宋_GB2312" w:cs="仿宋_GB2312"/>
          <w:bCs/>
          <w:sz w:val="32"/>
          <w:szCs w:val="32"/>
          <w:lang w:val="en-US" w:eastAsia="zh-CN"/>
        </w:rPr>
        <w:t>1.</w:t>
      </w:r>
      <w:r>
        <w:rPr>
          <w:rStyle w:val="17"/>
          <w:rFonts w:hint="eastAsia" w:ascii="仿宋_GB2312" w:hAnsi="仿宋_GB2312" w:eastAsia="仿宋_GB2312" w:cs="仿宋_GB2312"/>
          <w:bCs/>
          <w:sz w:val="32"/>
          <w:szCs w:val="32"/>
        </w:rPr>
        <w:t>社会保障和就业（类）行政事业单位养老支出（款）</w:t>
      </w:r>
      <w:r>
        <w:rPr>
          <w:rStyle w:val="17"/>
          <w:rFonts w:hint="eastAsia" w:ascii="仿宋_GB2312" w:hAnsi="仿宋_GB2312" w:eastAsia="仿宋_GB2312" w:cs="仿宋_GB2312"/>
          <w:bCs/>
          <w:sz w:val="32"/>
          <w:szCs w:val="32"/>
          <w:lang w:eastAsia="zh-CN"/>
        </w:rPr>
        <w:t>行政单位离退休</w:t>
      </w:r>
      <w:r>
        <w:rPr>
          <w:rStyle w:val="17"/>
          <w:rFonts w:hint="eastAsia" w:ascii="仿宋_GB2312" w:hAnsi="仿宋_GB2312" w:eastAsia="仿宋_GB2312" w:cs="仿宋_GB2312"/>
          <w:bCs/>
          <w:sz w:val="32"/>
          <w:szCs w:val="32"/>
        </w:rPr>
        <w:t>支出（项）:</w:t>
      </w:r>
      <w:r>
        <w:rPr>
          <w:rFonts w:hint="eastAsia" w:ascii="仿宋_GB2312" w:hAnsi="仿宋_GB2312" w:eastAsia="仿宋_GB2312" w:cs="仿宋_GB2312"/>
          <w:b w:val="0"/>
          <w:bCs/>
          <w:sz w:val="32"/>
          <w:szCs w:val="32"/>
        </w:rPr>
        <w:t>支出决算为</w:t>
      </w:r>
      <w:r>
        <w:rPr>
          <w:rFonts w:hint="eastAsia" w:ascii="仿宋_GB2312" w:hAnsi="仿宋_GB2312" w:eastAsia="仿宋_GB2312" w:cs="仿宋_GB2312"/>
          <w:b w:val="0"/>
          <w:bCs/>
          <w:sz w:val="32"/>
          <w:szCs w:val="32"/>
          <w:lang w:val="en-US" w:eastAsia="zh-CN"/>
        </w:rPr>
        <w:t>0.23</w:t>
      </w:r>
      <w:r>
        <w:rPr>
          <w:rFonts w:hint="eastAsia" w:ascii="仿宋_GB2312" w:hAnsi="仿宋_GB2312" w:eastAsia="仿宋_GB2312" w:cs="仿宋_GB2312"/>
          <w:b w:val="0"/>
          <w:bCs/>
          <w:sz w:val="32"/>
          <w:szCs w:val="32"/>
        </w:rPr>
        <w:t>万元，完成预算100%。</w:t>
      </w:r>
      <w:r>
        <w:rPr>
          <w:rFonts w:hint="eastAsia" w:ascii="仿宋_GB2312" w:hAnsi="仿宋_GB2312" w:eastAsia="仿宋_GB2312" w:cs="仿宋_GB2312"/>
          <w:b w:val="0"/>
          <w:bCs/>
          <w:sz w:val="32"/>
          <w:szCs w:val="32"/>
          <w:lang w:eastAsia="zh-CN"/>
        </w:rPr>
        <w:t>（预算调增）</w:t>
      </w:r>
    </w:p>
    <w:p w14:paraId="1E1AD3A7">
      <w:pPr>
        <w:numPr>
          <w:ilvl w:val="0"/>
          <w:numId w:val="0"/>
        </w:numPr>
        <w:spacing w:line="600" w:lineRule="exact"/>
        <w:ind w:firstLine="643" w:firstLineChars="200"/>
        <w:rPr>
          <w:rFonts w:hint="eastAsia" w:ascii="仿宋_GB2312" w:hAnsi="仿宋_GB2312" w:eastAsia="仿宋_GB2312" w:cs="仿宋_GB2312"/>
          <w:b w:val="0"/>
          <w:bCs/>
          <w:sz w:val="32"/>
          <w:szCs w:val="32"/>
        </w:rPr>
      </w:pPr>
      <w:r>
        <w:rPr>
          <w:rStyle w:val="17"/>
          <w:rFonts w:hint="eastAsia" w:ascii="仿宋_GB2312" w:hAnsi="仿宋_GB2312" w:eastAsia="仿宋_GB2312" w:cs="仿宋_GB2312"/>
          <w:bCs/>
          <w:sz w:val="32"/>
          <w:szCs w:val="32"/>
          <w:lang w:val="en-US" w:eastAsia="zh-CN"/>
        </w:rPr>
        <w:t>2.</w:t>
      </w:r>
      <w:r>
        <w:rPr>
          <w:rStyle w:val="17"/>
          <w:rFonts w:hint="eastAsia" w:ascii="仿宋_GB2312" w:hAnsi="仿宋_GB2312" w:eastAsia="仿宋_GB2312" w:cs="仿宋_GB2312"/>
          <w:bCs/>
          <w:sz w:val="32"/>
          <w:szCs w:val="32"/>
        </w:rPr>
        <w:t>社会保障和就业（类）行政事业单位养老支出（款）机关事业单位职业年金缴费支出（项）</w:t>
      </w:r>
      <w:r>
        <w:rPr>
          <w:rStyle w:val="17"/>
          <w:rFonts w:ascii="仿宋" w:hAnsi="仿宋" w:eastAsia="仿宋"/>
          <w:bCs/>
          <w:sz w:val="32"/>
          <w:szCs w:val="32"/>
        </w:rPr>
        <w:t>:</w:t>
      </w:r>
      <w:r>
        <w:rPr>
          <w:rFonts w:hint="eastAsia" w:ascii="仿宋_GB2312" w:hAnsi="仿宋_GB2312" w:eastAsia="仿宋_GB2312" w:cs="仿宋_GB2312"/>
          <w:b w:val="0"/>
          <w:bCs/>
          <w:sz w:val="32"/>
          <w:szCs w:val="32"/>
        </w:rPr>
        <w:t>支出决算为</w:t>
      </w:r>
      <w:r>
        <w:rPr>
          <w:rFonts w:hint="eastAsia" w:ascii="仿宋_GB2312" w:hAnsi="仿宋_GB2312" w:eastAsia="仿宋_GB2312" w:cs="仿宋_GB2312"/>
          <w:b w:val="0"/>
          <w:bCs/>
          <w:sz w:val="32"/>
          <w:szCs w:val="32"/>
          <w:lang w:val="en-US" w:eastAsia="zh-CN"/>
        </w:rPr>
        <w:t>0.05</w:t>
      </w:r>
      <w:r>
        <w:rPr>
          <w:rFonts w:hint="eastAsia" w:ascii="仿宋_GB2312" w:hAnsi="仿宋_GB2312" w:eastAsia="仿宋_GB2312" w:cs="仿宋_GB2312"/>
          <w:b w:val="0"/>
          <w:bCs/>
          <w:sz w:val="32"/>
          <w:szCs w:val="32"/>
        </w:rPr>
        <w:t>万元，完成预算100%。</w:t>
      </w:r>
      <w:r>
        <w:rPr>
          <w:rFonts w:hint="eastAsia" w:ascii="仿宋_GB2312" w:hAnsi="仿宋_GB2312" w:eastAsia="仿宋_GB2312" w:cs="仿宋_GB2312"/>
          <w:b w:val="0"/>
          <w:bCs/>
          <w:sz w:val="32"/>
          <w:szCs w:val="32"/>
          <w:lang w:eastAsia="zh-CN"/>
        </w:rPr>
        <w:t>（预算调增）</w:t>
      </w:r>
    </w:p>
    <w:p w14:paraId="5CE4CE8F">
      <w:pPr>
        <w:spacing w:line="600" w:lineRule="exact"/>
        <w:ind w:firstLine="643" w:firstLineChars="200"/>
        <w:rPr>
          <w:rStyle w:val="17"/>
          <w:rFonts w:ascii="仿宋" w:hAnsi="仿宋" w:eastAsia="仿宋"/>
          <w:b w:val="0"/>
          <w:bCs/>
          <w:sz w:val="32"/>
          <w:szCs w:val="32"/>
        </w:rPr>
      </w:pPr>
      <w:r>
        <w:rPr>
          <w:rStyle w:val="17"/>
          <w:rFonts w:hint="eastAsia" w:ascii="仿宋_GB2312" w:hAnsi="仿宋_GB2312" w:eastAsia="仿宋_GB2312" w:cs="仿宋_GB2312"/>
          <w:bCs/>
          <w:sz w:val="32"/>
          <w:szCs w:val="32"/>
          <w:lang w:val="en-US" w:eastAsia="zh-CN"/>
        </w:rPr>
        <w:t>3</w:t>
      </w:r>
      <w:r>
        <w:rPr>
          <w:rStyle w:val="17"/>
          <w:rFonts w:hint="eastAsia" w:ascii="仿宋_GB2312" w:hAnsi="仿宋_GB2312" w:eastAsia="仿宋_GB2312" w:cs="仿宋_GB2312"/>
          <w:bCs/>
          <w:sz w:val="32"/>
          <w:szCs w:val="32"/>
        </w:rPr>
        <w:t>.卫生健康（类）</w:t>
      </w:r>
      <w:r>
        <w:rPr>
          <w:rStyle w:val="17"/>
          <w:rFonts w:hint="eastAsia" w:ascii="仿宋_GB2312" w:hAnsi="仿宋_GB2312" w:eastAsia="仿宋_GB2312" w:cs="仿宋_GB2312"/>
          <w:bCs/>
          <w:sz w:val="32"/>
          <w:szCs w:val="32"/>
          <w:lang w:eastAsia="zh-CN"/>
        </w:rPr>
        <w:t>公共卫生</w:t>
      </w:r>
      <w:r>
        <w:rPr>
          <w:rStyle w:val="17"/>
          <w:rFonts w:hint="eastAsia" w:ascii="仿宋_GB2312" w:hAnsi="仿宋_GB2312" w:eastAsia="仿宋_GB2312" w:cs="仿宋_GB2312"/>
          <w:bCs/>
          <w:sz w:val="32"/>
          <w:szCs w:val="32"/>
        </w:rPr>
        <w:t>（款）</w:t>
      </w:r>
      <w:r>
        <w:rPr>
          <w:rStyle w:val="17"/>
          <w:rFonts w:hint="eastAsia" w:ascii="仿宋_GB2312" w:hAnsi="仿宋_GB2312" w:eastAsia="仿宋_GB2312" w:cs="仿宋_GB2312"/>
          <w:bCs/>
          <w:sz w:val="32"/>
          <w:szCs w:val="32"/>
          <w:lang w:eastAsia="zh-CN"/>
        </w:rPr>
        <w:t>重大公共卫生服务</w:t>
      </w:r>
      <w:r>
        <w:rPr>
          <w:rStyle w:val="17"/>
          <w:rFonts w:hint="eastAsia" w:ascii="仿宋_GB2312" w:hAnsi="仿宋_GB2312" w:eastAsia="仿宋_GB2312" w:cs="仿宋_GB2312"/>
          <w:bCs/>
          <w:sz w:val="32"/>
          <w:szCs w:val="32"/>
        </w:rPr>
        <w:t>（项）:</w:t>
      </w:r>
      <w:r>
        <w:rPr>
          <w:rFonts w:hint="eastAsia" w:ascii="仿宋_GB2312" w:hAnsi="仿宋_GB2312" w:eastAsia="仿宋_GB2312" w:cs="仿宋_GB2312"/>
          <w:b w:val="0"/>
          <w:bCs/>
          <w:sz w:val="32"/>
          <w:szCs w:val="32"/>
        </w:rPr>
        <w:t>支出决算为</w:t>
      </w:r>
      <w:r>
        <w:rPr>
          <w:rFonts w:hint="eastAsia" w:ascii="仿宋_GB2312" w:hAnsi="仿宋_GB2312" w:eastAsia="仿宋_GB2312" w:cs="仿宋_GB2312"/>
          <w:b w:val="0"/>
          <w:bCs/>
          <w:sz w:val="32"/>
          <w:szCs w:val="32"/>
          <w:lang w:val="en-US" w:eastAsia="zh-CN"/>
        </w:rPr>
        <w:t>699.59</w:t>
      </w:r>
      <w:r>
        <w:rPr>
          <w:rFonts w:hint="eastAsia" w:ascii="仿宋_GB2312" w:hAnsi="仿宋_GB2312" w:eastAsia="仿宋_GB2312" w:cs="仿宋_GB2312"/>
          <w:b w:val="0"/>
          <w:bCs/>
          <w:sz w:val="32"/>
          <w:szCs w:val="32"/>
        </w:rPr>
        <w:t>万元，完成预算100%。</w:t>
      </w:r>
    </w:p>
    <w:p w14:paraId="4AC69059">
      <w:pPr>
        <w:spacing w:line="600" w:lineRule="exact"/>
        <w:ind w:firstLine="643" w:firstLineChars="200"/>
        <w:rPr>
          <w:rStyle w:val="17"/>
          <w:rFonts w:ascii="仿宋" w:hAnsi="仿宋" w:eastAsia="仿宋"/>
          <w:b w:val="0"/>
          <w:bCs/>
          <w:sz w:val="32"/>
          <w:szCs w:val="32"/>
        </w:rPr>
      </w:pPr>
      <w:r>
        <w:rPr>
          <w:rStyle w:val="17"/>
          <w:rFonts w:hint="eastAsia" w:ascii="仿宋_GB2312" w:hAnsi="仿宋_GB2312" w:eastAsia="仿宋_GB2312" w:cs="仿宋_GB2312"/>
          <w:bCs/>
          <w:sz w:val="32"/>
          <w:szCs w:val="32"/>
          <w:lang w:val="en-US" w:eastAsia="zh-CN"/>
        </w:rPr>
        <w:t>4</w:t>
      </w:r>
      <w:r>
        <w:rPr>
          <w:rStyle w:val="17"/>
          <w:rFonts w:hint="eastAsia" w:ascii="仿宋_GB2312" w:hAnsi="仿宋_GB2312" w:eastAsia="仿宋_GB2312" w:cs="仿宋_GB2312"/>
          <w:bCs/>
          <w:sz w:val="32"/>
          <w:szCs w:val="32"/>
        </w:rPr>
        <w:t>.卫生健康（类）</w:t>
      </w:r>
      <w:r>
        <w:rPr>
          <w:rStyle w:val="17"/>
          <w:rFonts w:hint="eastAsia" w:ascii="仿宋_GB2312" w:hAnsi="仿宋_GB2312" w:eastAsia="仿宋_GB2312" w:cs="仿宋_GB2312"/>
          <w:bCs/>
          <w:sz w:val="32"/>
          <w:szCs w:val="32"/>
          <w:lang w:eastAsia="zh-CN"/>
        </w:rPr>
        <w:t>医疗保障管理事务</w:t>
      </w:r>
      <w:r>
        <w:rPr>
          <w:rStyle w:val="17"/>
          <w:rFonts w:hint="eastAsia" w:ascii="仿宋_GB2312" w:hAnsi="仿宋_GB2312" w:eastAsia="仿宋_GB2312" w:cs="仿宋_GB2312"/>
          <w:bCs/>
          <w:sz w:val="32"/>
          <w:szCs w:val="32"/>
        </w:rPr>
        <w:t>（款）</w:t>
      </w:r>
      <w:r>
        <w:rPr>
          <w:rStyle w:val="17"/>
          <w:rFonts w:hint="eastAsia" w:ascii="仿宋_GB2312" w:hAnsi="仿宋_GB2312" w:eastAsia="仿宋_GB2312" w:cs="仿宋_GB2312"/>
          <w:bCs/>
          <w:sz w:val="32"/>
          <w:szCs w:val="32"/>
          <w:lang w:eastAsia="zh-CN"/>
        </w:rPr>
        <w:t>行政运行</w:t>
      </w:r>
      <w:r>
        <w:rPr>
          <w:rStyle w:val="17"/>
          <w:rFonts w:hint="eastAsia" w:ascii="仿宋_GB2312" w:hAnsi="仿宋_GB2312" w:eastAsia="仿宋_GB2312" w:cs="仿宋_GB2312"/>
          <w:bCs/>
          <w:sz w:val="32"/>
          <w:szCs w:val="32"/>
        </w:rPr>
        <w:t>（项）:</w:t>
      </w:r>
      <w:r>
        <w:rPr>
          <w:rFonts w:hint="eastAsia" w:ascii="仿宋_GB2312" w:hAnsi="仿宋_GB2312" w:eastAsia="仿宋_GB2312" w:cs="仿宋_GB2312"/>
          <w:b w:val="0"/>
          <w:bCs/>
          <w:sz w:val="32"/>
          <w:szCs w:val="32"/>
        </w:rPr>
        <w:t>支出决算为</w:t>
      </w:r>
      <w:r>
        <w:rPr>
          <w:rFonts w:hint="eastAsia" w:ascii="仿宋_GB2312" w:hAnsi="仿宋_GB2312" w:eastAsia="仿宋_GB2312" w:cs="仿宋_GB2312"/>
          <w:b w:val="0"/>
          <w:bCs/>
          <w:sz w:val="32"/>
          <w:szCs w:val="32"/>
          <w:lang w:val="en-US" w:eastAsia="zh-CN"/>
        </w:rPr>
        <w:t>542.59</w:t>
      </w:r>
      <w:r>
        <w:rPr>
          <w:rFonts w:hint="eastAsia" w:ascii="仿宋_GB2312" w:hAnsi="仿宋_GB2312" w:eastAsia="仿宋_GB2312" w:cs="仿宋_GB2312"/>
          <w:b w:val="0"/>
          <w:bCs/>
          <w:sz w:val="32"/>
          <w:szCs w:val="32"/>
        </w:rPr>
        <w:t>万元，完成预算100%。</w:t>
      </w:r>
    </w:p>
    <w:p w14:paraId="3D9BDA1E">
      <w:pPr>
        <w:spacing w:line="600" w:lineRule="exact"/>
        <w:ind w:firstLine="643" w:firstLineChars="200"/>
        <w:rPr>
          <w:rStyle w:val="17"/>
          <w:rFonts w:ascii="仿宋" w:hAnsi="仿宋" w:eastAsia="仿宋"/>
          <w:b w:val="0"/>
          <w:bCs/>
          <w:sz w:val="32"/>
          <w:szCs w:val="32"/>
        </w:rPr>
      </w:pPr>
      <w:r>
        <w:rPr>
          <w:rStyle w:val="17"/>
          <w:rFonts w:hint="eastAsia" w:ascii="仿宋_GB2312" w:hAnsi="仿宋_GB2312" w:eastAsia="仿宋_GB2312" w:cs="仿宋_GB2312"/>
          <w:bCs/>
          <w:sz w:val="32"/>
          <w:szCs w:val="32"/>
          <w:lang w:val="en-US" w:eastAsia="zh-CN"/>
        </w:rPr>
        <w:t>5</w:t>
      </w:r>
      <w:r>
        <w:rPr>
          <w:rStyle w:val="17"/>
          <w:rFonts w:hint="eastAsia" w:ascii="仿宋_GB2312" w:hAnsi="仿宋_GB2312" w:eastAsia="仿宋_GB2312" w:cs="仿宋_GB2312"/>
          <w:bCs/>
          <w:sz w:val="32"/>
          <w:szCs w:val="32"/>
        </w:rPr>
        <w:t>.卫生健康（类）</w:t>
      </w:r>
      <w:r>
        <w:rPr>
          <w:rStyle w:val="17"/>
          <w:rFonts w:hint="eastAsia" w:ascii="仿宋_GB2312" w:hAnsi="仿宋_GB2312" w:eastAsia="仿宋_GB2312" w:cs="仿宋_GB2312"/>
          <w:bCs/>
          <w:sz w:val="32"/>
          <w:szCs w:val="32"/>
          <w:lang w:eastAsia="zh-CN"/>
        </w:rPr>
        <w:t>医疗保障管理事务</w:t>
      </w:r>
      <w:r>
        <w:rPr>
          <w:rStyle w:val="17"/>
          <w:rFonts w:hint="eastAsia" w:ascii="仿宋_GB2312" w:hAnsi="仿宋_GB2312" w:eastAsia="仿宋_GB2312" w:cs="仿宋_GB2312"/>
          <w:bCs/>
          <w:sz w:val="32"/>
          <w:szCs w:val="32"/>
        </w:rPr>
        <w:t>（款）</w:t>
      </w:r>
      <w:r>
        <w:rPr>
          <w:rStyle w:val="17"/>
          <w:rFonts w:hint="eastAsia" w:ascii="仿宋_GB2312" w:hAnsi="仿宋_GB2312" w:eastAsia="仿宋_GB2312" w:cs="仿宋_GB2312"/>
          <w:bCs/>
          <w:sz w:val="32"/>
          <w:szCs w:val="32"/>
          <w:lang w:eastAsia="zh-CN"/>
        </w:rPr>
        <w:t>一般行政管理事务</w:t>
      </w:r>
      <w:r>
        <w:rPr>
          <w:rStyle w:val="17"/>
          <w:rFonts w:hint="eastAsia" w:ascii="仿宋_GB2312" w:hAnsi="仿宋_GB2312" w:eastAsia="仿宋_GB2312" w:cs="仿宋_GB2312"/>
          <w:bCs/>
          <w:sz w:val="32"/>
          <w:szCs w:val="32"/>
        </w:rPr>
        <w:t>（项）:</w:t>
      </w:r>
      <w:r>
        <w:rPr>
          <w:rFonts w:hint="eastAsia" w:ascii="仿宋_GB2312" w:hAnsi="仿宋_GB2312" w:eastAsia="仿宋_GB2312" w:cs="仿宋_GB2312"/>
          <w:b w:val="0"/>
          <w:bCs/>
          <w:sz w:val="32"/>
          <w:szCs w:val="32"/>
        </w:rPr>
        <w:t>支出决算为</w:t>
      </w:r>
      <w:r>
        <w:rPr>
          <w:rFonts w:hint="eastAsia" w:ascii="仿宋_GB2312" w:hAnsi="仿宋_GB2312" w:eastAsia="仿宋_GB2312" w:cs="仿宋_GB2312"/>
          <w:b w:val="0"/>
          <w:bCs/>
          <w:sz w:val="32"/>
          <w:szCs w:val="32"/>
          <w:lang w:val="en-US" w:eastAsia="zh-CN"/>
        </w:rPr>
        <w:t>8.73</w:t>
      </w:r>
      <w:r>
        <w:rPr>
          <w:rFonts w:hint="eastAsia" w:ascii="仿宋_GB2312" w:hAnsi="仿宋_GB2312" w:eastAsia="仿宋_GB2312" w:cs="仿宋_GB2312"/>
          <w:b w:val="0"/>
          <w:bCs/>
          <w:sz w:val="32"/>
          <w:szCs w:val="32"/>
        </w:rPr>
        <w:t>万元，完成预算100%。</w:t>
      </w:r>
    </w:p>
    <w:p w14:paraId="2DB35FA9">
      <w:pPr>
        <w:spacing w:line="600" w:lineRule="exact"/>
        <w:ind w:firstLine="643" w:firstLineChars="200"/>
        <w:rPr>
          <w:rFonts w:hint="eastAsia" w:ascii="仿宋_GB2312" w:hAnsi="仿宋_GB2312" w:eastAsia="仿宋_GB2312" w:cs="仿宋_GB2312"/>
          <w:b w:val="0"/>
          <w:bCs/>
          <w:sz w:val="32"/>
          <w:szCs w:val="32"/>
        </w:rPr>
      </w:pPr>
      <w:r>
        <w:rPr>
          <w:rStyle w:val="17"/>
          <w:rFonts w:hint="eastAsia" w:ascii="仿宋_GB2312" w:hAnsi="仿宋_GB2312" w:eastAsia="仿宋_GB2312" w:cs="仿宋_GB2312"/>
          <w:bCs/>
          <w:sz w:val="32"/>
          <w:szCs w:val="32"/>
          <w:lang w:val="en-US" w:eastAsia="zh-CN"/>
        </w:rPr>
        <w:t>6</w:t>
      </w:r>
      <w:r>
        <w:rPr>
          <w:rStyle w:val="17"/>
          <w:rFonts w:hint="eastAsia" w:ascii="仿宋_GB2312" w:hAnsi="仿宋_GB2312" w:eastAsia="仿宋_GB2312" w:cs="仿宋_GB2312"/>
          <w:bCs/>
          <w:sz w:val="32"/>
          <w:szCs w:val="32"/>
        </w:rPr>
        <w:t>.卫生健康（类）</w:t>
      </w:r>
      <w:r>
        <w:rPr>
          <w:rStyle w:val="17"/>
          <w:rFonts w:hint="eastAsia" w:ascii="仿宋_GB2312" w:hAnsi="仿宋_GB2312" w:eastAsia="仿宋_GB2312" w:cs="仿宋_GB2312"/>
          <w:bCs/>
          <w:sz w:val="32"/>
          <w:szCs w:val="32"/>
          <w:lang w:eastAsia="zh-CN"/>
        </w:rPr>
        <w:t>其他卫生健康支出</w:t>
      </w:r>
      <w:r>
        <w:rPr>
          <w:rStyle w:val="17"/>
          <w:rFonts w:hint="eastAsia" w:ascii="仿宋_GB2312" w:hAnsi="仿宋_GB2312" w:eastAsia="仿宋_GB2312" w:cs="仿宋_GB2312"/>
          <w:bCs/>
          <w:sz w:val="32"/>
          <w:szCs w:val="32"/>
        </w:rPr>
        <w:t>（款）</w:t>
      </w:r>
      <w:r>
        <w:rPr>
          <w:rStyle w:val="17"/>
          <w:rFonts w:hint="eastAsia" w:ascii="仿宋_GB2312" w:hAnsi="仿宋_GB2312" w:eastAsia="仿宋_GB2312" w:cs="仿宋_GB2312"/>
          <w:bCs/>
          <w:sz w:val="32"/>
          <w:szCs w:val="32"/>
          <w:lang w:eastAsia="zh-CN"/>
        </w:rPr>
        <w:t>其他卫生健康支出</w:t>
      </w:r>
      <w:r>
        <w:rPr>
          <w:rStyle w:val="17"/>
          <w:rFonts w:hint="eastAsia" w:ascii="仿宋_GB2312" w:hAnsi="仿宋_GB2312" w:eastAsia="仿宋_GB2312" w:cs="仿宋_GB2312"/>
          <w:bCs/>
          <w:sz w:val="32"/>
          <w:szCs w:val="32"/>
        </w:rPr>
        <w:t>支出（项）:</w:t>
      </w:r>
      <w:r>
        <w:rPr>
          <w:rFonts w:hint="eastAsia" w:ascii="仿宋_GB2312" w:hAnsi="仿宋_GB2312" w:eastAsia="仿宋_GB2312" w:cs="仿宋_GB2312"/>
          <w:b w:val="0"/>
          <w:bCs/>
          <w:sz w:val="32"/>
          <w:szCs w:val="32"/>
        </w:rPr>
        <w:t>支出决算为</w:t>
      </w:r>
      <w:r>
        <w:rPr>
          <w:rFonts w:hint="eastAsia" w:ascii="仿宋_GB2312" w:hAnsi="仿宋_GB2312" w:eastAsia="仿宋_GB2312" w:cs="仿宋_GB2312"/>
          <w:b w:val="0"/>
          <w:bCs/>
          <w:sz w:val="32"/>
          <w:szCs w:val="32"/>
          <w:lang w:val="en-US" w:eastAsia="zh-CN"/>
        </w:rPr>
        <w:t>5.24</w:t>
      </w:r>
      <w:r>
        <w:rPr>
          <w:rFonts w:hint="eastAsia" w:ascii="仿宋_GB2312" w:hAnsi="仿宋_GB2312" w:eastAsia="仿宋_GB2312" w:cs="仿宋_GB2312"/>
          <w:b w:val="0"/>
          <w:bCs/>
          <w:sz w:val="32"/>
          <w:szCs w:val="32"/>
        </w:rPr>
        <w:t>万元，完成预算100%。</w:t>
      </w:r>
    </w:p>
    <w:p w14:paraId="16053488">
      <w:pPr>
        <w:spacing w:line="600" w:lineRule="exact"/>
        <w:ind w:firstLine="643" w:firstLineChars="200"/>
        <w:rPr>
          <w:rFonts w:hint="eastAsia" w:ascii="仿宋_GB2312" w:hAnsi="仿宋_GB2312" w:eastAsia="仿宋_GB2312" w:cs="仿宋_GB2312"/>
          <w:b w:val="0"/>
          <w:bCs/>
          <w:sz w:val="32"/>
          <w:szCs w:val="32"/>
        </w:rPr>
      </w:pPr>
      <w:bookmarkStart w:id="35" w:name="_Toc15396608"/>
      <w:bookmarkStart w:id="36" w:name="_Toc15377214"/>
      <w:r>
        <w:rPr>
          <w:rStyle w:val="17"/>
          <w:rFonts w:hint="eastAsia" w:ascii="仿宋_GB2312" w:hAnsi="仿宋_GB2312" w:eastAsia="仿宋_GB2312" w:cs="仿宋_GB2312"/>
          <w:bCs/>
          <w:sz w:val="32"/>
          <w:szCs w:val="32"/>
          <w:lang w:val="en-US" w:eastAsia="zh-CN"/>
        </w:rPr>
        <w:t>7</w:t>
      </w:r>
      <w:r>
        <w:rPr>
          <w:rStyle w:val="17"/>
          <w:rFonts w:hint="eastAsia" w:ascii="仿宋_GB2312" w:hAnsi="仿宋_GB2312" w:eastAsia="仿宋_GB2312" w:cs="仿宋_GB2312"/>
          <w:bCs/>
          <w:sz w:val="32"/>
          <w:szCs w:val="32"/>
        </w:rPr>
        <w:t>.</w:t>
      </w:r>
      <w:r>
        <w:rPr>
          <w:rStyle w:val="17"/>
          <w:rFonts w:hint="default" w:ascii="仿宋_GB2312" w:hAnsi="仿宋_GB2312" w:eastAsia="仿宋_GB2312" w:cs="仿宋_GB2312"/>
          <w:bCs/>
          <w:sz w:val="32"/>
          <w:szCs w:val="32"/>
          <w:lang w:val="en-US" w:eastAsia="zh-CN"/>
        </w:rPr>
        <w:t>农林水支出（类）巩固脱贫</w:t>
      </w:r>
      <w:r>
        <w:rPr>
          <w:rStyle w:val="17"/>
          <w:rFonts w:hint="eastAsia" w:ascii="仿宋_GB2312" w:hAnsi="仿宋_GB2312" w:eastAsia="仿宋_GB2312" w:cs="仿宋_GB2312"/>
          <w:bCs/>
          <w:sz w:val="32"/>
          <w:szCs w:val="32"/>
          <w:lang w:val="en-US" w:eastAsia="zh-CN"/>
        </w:rPr>
        <w:t>攻坚成果</w:t>
      </w:r>
      <w:r>
        <w:rPr>
          <w:rStyle w:val="17"/>
          <w:rFonts w:hint="default" w:ascii="仿宋_GB2312" w:hAnsi="仿宋_GB2312" w:eastAsia="仿宋_GB2312" w:cs="仿宋_GB2312"/>
          <w:bCs/>
          <w:sz w:val="32"/>
          <w:szCs w:val="32"/>
          <w:lang w:val="en-US" w:eastAsia="zh-CN"/>
        </w:rPr>
        <w:t>衔接乡村振兴（款）其他巩固脱贫</w:t>
      </w:r>
      <w:r>
        <w:rPr>
          <w:rStyle w:val="17"/>
          <w:rFonts w:hint="eastAsia" w:ascii="仿宋_GB2312" w:hAnsi="仿宋_GB2312" w:eastAsia="仿宋_GB2312" w:cs="仿宋_GB2312"/>
          <w:bCs/>
          <w:sz w:val="32"/>
          <w:szCs w:val="32"/>
          <w:lang w:val="en-US" w:eastAsia="zh-CN"/>
        </w:rPr>
        <w:t>攻坚成果</w:t>
      </w:r>
      <w:r>
        <w:rPr>
          <w:rStyle w:val="17"/>
          <w:rFonts w:hint="default" w:ascii="仿宋_GB2312" w:hAnsi="仿宋_GB2312" w:eastAsia="仿宋_GB2312" w:cs="仿宋_GB2312"/>
          <w:bCs/>
          <w:sz w:val="32"/>
          <w:szCs w:val="32"/>
          <w:lang w:val="en-US" w:eastAsia="zh-CN"/>
        </w:rPr>
        <w:t>衔接乡村振兴支出（项）</w:t>
      </w:r>
      <w:r>
        <w:rPr>
          <w:rFonts w:hint="eastAsia" w:ascii="仿宋_GB2312" w:hAnsi="仿宋_GB2312" w:eastAsia="仿宋_GB2312" w:cs="仿宋_GB2312"/>
          <w:b w:val="0"/>
          <w:bCs/>
          <w:sz w:val="32"/>
          <w:szCs w:val="32"/>
        </w:rPr>
        <w:t>支出决算为</w:t>
      </w:r>
      <w:r>
        <w:rPr>
          <w:rFonts w:hint="eastAsia" w:ascii="仿宋_GB2312" w:hAnsi="仿宋_GB2312" w:eastAsia="仿宋_GB2312" w:cs="仿宋_GB2312"/>
          <w:b w:val="0"/>
          <w:bCs/>
          <w:sz w:val="32"/>
          <w:szCs w:val="32"/>
          <w:lang w:val="en-US" w:eastAsia="zh-CN"/>
        </w:rPr>
        <w:t>0.5</w:t>
      </w:r>
      <w:r>
        <w:rPr>
          <w:rFonts w:hint="eastAsia" w:ascii="仿宋_GB2312" w:hAnsi="仿宋_GB2312" w:eastAsia="仿宋_GB2312" w:cs="仿宋_GB2312"/>
          <w:b w:val="0"/>
          <w:bCs/>
          <w:sz w:val="32"/>
          <w:szCs w:val="32"/>
        </w:rPr>
        <w:t>万元，完成预算100%。</w:t>
      </w:r>
      <w:r>
        <w:rPr>
          <w:rFonts w:hint="eastAsia" w:ascii="仿宋_GB2312" w:hAnsi="仿宋_GB2312" w:eastAsia="仿宋_GB2312" w:cs="仿宋_GB2312"/>
          <w:b w:val="0"/>
          <w:bCs/>
          <w:sz w:val="32"/>
          <w:szCs w:val="32"/>
          <w:lang w:eastAsia="zh-CN"/>
        </w:rPr>
        <w:t>（预算调增）</w:t>
      </w:r>
    </w:p>
    <w:p w14:paraId="30C2C4A7">
      <w:pPr>
        <w:spacing w:line="600" w:lineRule="exact"/>
        <w:ind w:firstLine="643" w:firstLineChars="200"/>
        <w:rPr>
          <w:rStyle w:val="17"/>
          <w:rFonts w:hint="eastAsia" w:ascii="仿宋" w:hAnsi="仿宋" w:eastAsia="仿宋"/>
          <w:b w:val="0"/>
          <w:bCs/>
          <w:sz w:val="32"/>
          <w:szCs w:val="32"/>
        </w:rPr>
      </w:pPr>
      <w:r>
        <w:rPr>
          <w:rStyle w:val="17"/>
          <w:rFonts w:hint="eastAsia" w:ascii="仿宋_GB2312" w:hAnsi="仿宋_GB2312" w:eastAsia="仿宋_GB2312" w:cs="仿宋_GB2312"/>
          <w:bCs/>
          <w:sz w:val="32"/>
          <w:szCs w:val="32"/>
          <w:lang w:val="en-US" w:eastAsia="zh-CN"/>
        </w:rPr>
        <w:t>8</w:t>
      </w:r>
      <w:r>
        <w:rPr>
          <w:rStyle w:val="17"/>
          <w:rFonts w:hint="eastAsia" w:ascii="仿宋_GB2312" w:hAnsi="仿宋_GB2312" w:eastAsia="仿宋_GB2312" w:cs="仿宋_GB2312"/>
          <w:bCs/>
          <w:sz w:val="32"/>
          <w:szCs w:val="32"/>
        </w:rPr>
        <w:t>.</w:t>
      </w:r>
      <w:r>
        <w:rPr>
          <w:rStyle w:val="17"/>
          <w:rFonts w:hint="eastAsia" w:ascii="仿宋_GB2312" w:hAnsi="仿宋_GB2312" w:eastAsia="仿宋_GB2312" w:cs="仿宋_GB2312"/>
          <w:bCs/>
          <w:sz w:val="32"/>
          <w:szCs w:val="32"/>
          <w:lang w:eastAsia="zh-CN"/>
        </w:rPr>
        <w:t>住房保障</w:t>
      </w:r>
      <w:r>
        <w:rPr>
          <w:rStyle w:val="17"/>
          <w:rFonts w:hint="eastAsia" w:ascii="仿宋_GB2312" w:hAnsi="仿宋_GB2312" w:eastAsia="仿宋_GB2312" w:cs="仿宋_GB2312"/>
          <w:bCs/>
          <w:sz w:val="32"/>
          <w:szCs w:val="32"/>
        </w:rPr>
        <w:t>（类）</w:t>
      </w:r>
      <w:r>
        <w:rPr>
          <w:rStyle w:val="17"/>
          <w:rFonts w:hint="eastAsia" w:ascii="仿宋_GB2312" w:hAnsi="仿宋_GB2312" w:eastAsia="仿宋_GB2312" w:cs="仿宋_GB2312"/>
          <w:bCs/>
          <w:sz w:val="32"/>
          <w:szCs w:val="32"/>
          <w:lang w:eastAsia="zh-CN"/>
        </w:rPr>
        <w:t>住房改革支出</w:t>
      </w:r>
      <w:r>
        <w:rPr>
          <w:rStyle w:val="17"/>
          <w:rFonts w:hint="eastAsia" w:ascii="仿宋_GB2312" w:hAnsi="仿宋_GB2312" w:eastAsia="仿宋_GB2312" w:cs="仿宋_GB2312"/>
          <w:bCs/>
          <w:sz w:val="32"/>
          <w:szCs w:val="32"/>
        </w:rPr>
        <w:t>（款）</w:t>
      </w:r>
      <w:r>
        <w:rPr>
          <w:rStyle w:val="17"/>
          <w:rFonts w:hint="eastAsia" w:ascii="仿宋_GB2312" w:hAnsi="仿宋_GB2312" w:eastAsia="仿宋_GB2312" w:cs="仿宋_GB2312"/>
          <w:bCs/>
          <w:sz w:val="32"/>
          <w:szCs w:val="32"/>
          <w:lang w:eastAsia="zh-CN"/>
        </w:rPr>
        <w:t>住房公积金</w:t>
      </w:r>
      <w:r>
        <w:rPr>
          <w:rStyle w:val="17"/>
          <w:rFonts w:hint="eastAsia" w:ascii="仿宋_GB2312" w:hAnsi="仿宋_GB2312" w:eastAsia="仿宋_GB2312" w:cs="仿宋_GB2312"/>
          <w:bCs/>
          <w:sz w:val="32"/>
          <w:szCs w:val="32"/>
        </w:rPr>
        <w:t>（项）:</w:t>
      </w:r>
      <w:r>
        <w:rPr>
          <w:rFonts w:hint="eastAsia" w:ascii="仿宋_GB2312" w:hAnsi="仿宋_GB2312" w:eastAsia="仿宋_GB2312" w:cs="仿宋_GB2312"/>
          <w:b w:val="0"/>
          <w:bCs/>
          <w:sz w:val="32"/>
          <w:szCs w:val="32"/>
        </w:rPr>
        <w:t>支出决算为</w:t>
      </w:r>
      <w:r>
        <w:rPr>
          <w:rFonts w:hint="eastAsia" w:ascii="仿宋_GB2312" w:hAnsi="仿宋_GB2312" w:eastAsia="仿宋_GB2312" w:cs="仿宋_GB2312"/>
          <w:b w:val="0"/>
          <w:bCs/>
          <w:sz w:val="32"/>
          <w:szCs w:val="32"/>
          <w:lang w:val="en-US" w:eastAsia="zh-CN"/>
        </w:rPr>
        <w:t>1.5</w:t>
      </w:r>
      <w:r>
        <w:rPr>
          <w:rFonts w:hint="eastAsia" w:ascii="仿宋_GB2312" w:hAnsi="仿宋_GB2312" w:eastAsia="仿宋_GB2312" w:cs="仿宋_GB2312"/>
          <w:b w:val="0"/>
          <w:bCs/>
          <w:sz w:val="32"/>
          <w:szCs w:val="32"/>
        </w:rPr>
        <w:t>万元，完成预算100%。</w:t>
      </w:r>
      <w:r>
        <w:rPr>
          <w:rFonts w:hint="eastAsia" w:ascii="仿宋_GB2312" w:hAnsi="仿宋_GB2312" w:eastAsia="仿宋_GB2312" w:cs="仿宋_GB2312"/>
          <w:b w:val="0"/>
          <w:bCs/>
          <w:sz w:val="32"/>
          <w:szCs w:val="32"/>
          <w:lang w:eastAsia="zh-CN"/>
        </w:rPr>
        <w:t>（预算调增）</w:t>
      </w:r>
    </w:p>
    <w:p w14:paraId="022FB88F">
      <w:pPr>
        <w:tabs>
          <w:tab w:val="right" w:pos="8306"/>
        </w:tabs>
        <w:spacing w:line="600" w:lineRule="exact"/>
        <w:ind w:firstLine="640" w:firstLineChars="200"/>
        <w:outlineLvl w:val="1"/>
        <w:rPr>
          <w:rFonts w:hint="eastAsia" w:ascii="黑体" w:eastAsia="黑体"/>
          <w:sz w:val="32"/>
          <w:szCs w:val="32"/>
        </w:rPr>
      </w:pPr>
    </w:p>
    <w:p w14:paraId="2F85EADA">
      <w:pPr>
        <w:tabs>
          <w:tab w:val="right" w:pos="8306"/>
        </w:tabs>
        <w:spacing w:line="600" w:lineRule="exact"/>
        <w:ind w:firstLine="640" w:firstLineChars="200"/>
        <w:outlineLvl w:val="1"/>
        <w:rPr>
          <w:rStyle w:val="29"/>
        </w:rPr>
      </w:pPr>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9"/>
          <w:rFonts w:hint="eastAsia" w:ascii="黑体" w:hAnsi="黑体" w:eastAsia="黑体"/>
          <w:b w:val="0"/>
        </w:rPr>
        <w:t>般公共预算财政拨款基本支出决算情况说明</w:t>
      </w:r>
      <w:bookmarkEnd w:id="35"/>
      <w:bookmarkEnd w:id="36"/>
      <w:r>
        <w:rPr>
          <w:rStyle w:val="29"/>
          <w:rFonts w:ascii="黑体" w:hAnsi="黑体" w:eastAsia="黑体"/>
          <w:b w:val="0"/>
        </w:rPr>
        <w:tab/>
      </w:r>
    </w:p>
    <w:p w14:paraId="38905C8E">
      <w:pPr>
        <w:spacing w:line="60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2023</w:t>
      </w:r>
      <w:r>
        <w:rPr>
          <w:rFonts w:hint="eastAsia" w:ascii="仿宋_GB2312" w:hAnsi="仿宋_GB2312" w:eastAsia="仿宋_GB2312" w:cs="仿宋_GB2312"/>
          <w:sz w:val="32"/>
          <w:szCs w:val="32"/>
        </w:rPr>
        <w:t>年一般公共预算财政拨款基本支出</w:t>
      </w:r>
      <w:r>
        <w:rPr>
          <w:rFonts w:hint="eastAsia" w:ascii="仿宋_GB2312" w:hAnsi="仿宋_GB2312" w:eastAsia="仿宋_GB2312" w:cs="仿宋_GB2312"/>
          <w:sz w:val="32"/>
          <w:szCs w:val="32"/>
          <w:lang w:val="en-US" w:eastAsia="zh-CN"/>
        </w:rPr>
        <w:t>544.36</w:t>
      </w:r>
      <w:r>
        <w:rPr>
          <w:rFonts w:hint="eastAsia" w:ascii="仿宋_GB2312" w:hAnsi="仿宋_GB2312" w:eastAsia="仿宋_GB2312" w:cs="仿宋_GB2312"/>
          <w:sz w:val="32"/>
          <w:szCs w:val="32"/>
        </w:rPr>
        <w:t>万元，其中：</w:t>
      </w:r>
    </w:p>
    <w:p w14:paraId="030331C7">
      <w:pPr>
        <w:spacing w:line="60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人员经费</w:t>
      </w:r>
      <w:r>
        <w:rPr>
          <w:rFonts w:hint="eastAsia" w:ascii="仿宋_GB2312" w:hAnsi="仿宋_GB2312" w:eastAsia="仿宋_GB2312" w:cs="仿宋_GB2312"/>
          <w:sz w:val="32"/>
          <w:szCs w:val="32"/>
          <w:lang w:val="en-US" w:eastAsia="zh-CN"/>
        </w:rPr>
        <w:t>489.83</w:t>
      </w:r>
      <w:r>
        <w:rPr>
          <w:rFonts w:hint="eastAsia" w:ascii="仿宋_GB2312" w:hAnsi="仿宋_GB2312" w:eastAsia="仿宋_GB2312" w:cs="仿宋_GB2312"/>
          <w:sz w:val="32"/>
          <w:szCs w:val="32"/>
        </w:rPr>
        <w:t>万元，主要包括：基本工资</w:t>
      </w:r>
      <w:r>
        <w:rPr>
          <w:rFonts w:hint="eastAsia" w:ascii="仿宋_GB2312" w:hAnsi="仿宋_GB2312" w:eastAsia="仿宋_GB2312" w:cs="仿宋_GB2312"/>
          <w:sz w:val="32"/>
          <w:szCs w:val="32"/>
          <w:lang w:val="en-US" w:eastAsia="zh-CN"/>
        </w:rPr>
        <w:t>132.58</w:t>
      </w:r>
      <w:r>
        <w:rPr>
          <w:rFonts w:hint="eastAsia" w:ascii="仿宋_GB2312" w:hAnsi="仿宋_GB2312" w:eastAsia="仿宋_GB2312" w:cs="仿宋_GB2312"/>
          <w:sz w:val="32"/>
          <w:szCs w:val="32"/>
        </w:rPr>
        <w:t>万元、津贴补贴</w:t>
      </w:r>
      <w:r>
        <w:rPr>
          <w:rFonts w:hint="eastAsia" w:ascii="仿宋_GB2312" w:hAnsi="仿宋_GB2312" w:eastAsia="仿宋_GB2312" w:cs="仿宋_GB2312"/>
          <w:sz w:val="32"/>
          <w:szCs w:val="32"/>
          <w:lang w:val="en-US" w:eastAsia="zh-CN"/>
        </w:rPr>
        <w:t>87.54</w:t>
      </w:r>
      <w:r>
        <w:rPr>
          <w:rFonts w:hint="eastAsia" w:ascii="仿宋_GB2312" w:hAnsi="仿宋_GB2312" w:eastAsia="仿宋_GB2312" w:cs="仿宋_GB2312"/>
          <w:sz w:val="32"/>
          <w:szCs w:val="32"/>
        </w:rPr>
        <w:t>万元、奖金</w:t>
      </w:r>
      <w:r>
        <w:rPr>
          <w:rFonts w:hint="eastAsia" w:ascii="仿宋_GB2312" w:hAnsi="仿宋_GB2312" w:eastAsia="仿宋_GB2312" w:cs="仿宋_GB2312"/>
          <w:sz w:val="32"/>
          <w:szCs w:val="32"/>
          <w:lang w:val="en-US" w:eastAsia="zh-CN"/>
        </w:rPr>
        <w:t>134.17</w:t>
      </w:r>
      <w:r>
        <w:rPr>
          <w:rFonts w:hint="eastAsia" w:ascii="仿宋_GB2312" w:hAnsi="仿宋_GB2312" w:eastAsia="仿宋_GB2312" w:cs="仿宋_GB2312"/>
          <w:sz w:val="32"/>
          <w:szCs w:val="32"/>
        </w:rPr>
        <w:t>万元、机关事业单位基本养老保险缴费</w:t>
      </w:r>
      <w:r>
        <w:rPr>
          <w:rFonts w:hint="eastAsia" w:ascii="仿宋_GB2312" w:hAnsi="仿宋_GB2312" w:eastAsia="仿宋_GB2312" w:cs="仿宋_GB2312"/>
          <w:sz w:val="32"/>
          <w:szCs w:val="32"/>
          <w:lang w:val="en-US" w:eastAsia="zh-CN"/>
        </w:rPr>
        <w:t>58.78</w:t>
      </w:r>
      <w:r>
        <w:rPr>
          <w:rFonts w:hint="eastAsia" w:ascii="仿宋_GB2312" w:hAnsi="仿宋_GB2312" w:eastAsia="仿宋_GB2312" w:cs="仿宋_GB2312"/>
          <w:sz w:val="32"/>
          <w:szCs w:val="32"/>
        </w:rPr>
        <w:t>万元、职业年金缴费</w:t>
      </w:r>
      <w:r>
        <w:rPr>
          <w:rFonts w:hint="eastAsia" w:ascii="仿宋_GB2312" w:hAnsi="仿宋_GB2312" w:eastAsia="仿宋_GB2312" w:cs="仿宋_GB2312"/>
          <w:sz w:val="32"/>
          <w:szCs w:val="32"/>
          <w:lang w:val="en-US" w:eastAsia="zh-CN"/>
        </w:rPr>
        <w:t>0.05</w:t>
      </w:r>
      <w:r>
        <w:rPr>
          <w:rFonts w:hint="eastAsia" w:ascii="仿宋_GB2312" w:hAnsi="仿宋_GB2312" w:eastAsia="仿宋_GB2312" w:cs="仿宋_GB2312"/>
          <w:sz w:val="32"/>
          <w:szCs w:val="32"/>
        </w:rPr>
        <w:t>万元、职工基本医疗保险缴费</w:t>
      </w:r>
      <w:r>
        <w:rPr>
          <w:rFonts w:hint="eastAsia" w:ascii="仿宋_GB2312" w:hAnsi="仿宋_GB2312" w:eastAsia="仿宋_GB2312" w:cs="仿宋_GB2312"/>
          <w:sz w:val="32"/>
          <w:szCs w:val="32"/>
          <w:lang w:val="en-US" w:eastAsia="zh-CN"/>
        </w:rPr>
        <w:t>18.13</w:t>
      </w:r>
      <w:r>
        <w:rPr>
          <w:rFonts w:hint="eastAsia" w:ascii="仿宋_GB2312" w:hAnsi="仿宋_GB2312" w:eastAsia="仿宋_GB2312" w:cs="仿宋_GB2312"/>
          <w:sz w:val="32"/>
          <w:szCs w:val="32"/>
        </w:rPr>
        <w:t>万元、公务员医疗补助缴费</w:t>
      </w:r>
      <w:r>
        <w:rPr>
          <w:rFonts w:hint="eastAsia" w:ascii="仿宋_GB2312" w:hAnsi="仿宋_GB2312" w:eastAsia="仿宋_GB2312" w:cs="仿宋_GB2312"/>
          <w:sz w:val="32"/>
          <w:szCs w:val="32"/>
          <w:lang w:val="en-US" w:eastAsia="zh-CN"/>
        </w:rPr>
        <w:t>4.46</w:t>
      </w:r>
      <w:r>
        <w:rPr>
          <w:rFonts w:hint="eastAsia" w:ascii="仿宋_GB2312" w:hAnsi="仿宋_GB2312" w:eastAsia="仿宋_GB2312" w:cs="仿宋_GB2312"/>
          <w:sz w:val="32"/>
          <w:szCs w:val="32"/>
        </w:rPr>
        <w:t>万元、其他社会保障缴费</w:t>
      </w:r>
      <w:r>
        <w:rPr>
          <w:rFonts w:hint="eastAsia" w:ascii="仿宋_GB2312" w:hAnsi="仿宋_GB2312" w:eastAsia="仿宋_GB2312" w:cs="仿宋_GB2312"/>
          <w:sz w:val="32"/>
          <w:szCs w:val="32"/>
          <w:lang w:val="en-US" w:eastAsia="zh-CN"/>
        </w:rPr>
        <w:t>5.65</w:t>
      </w:r>
      <w:r>
        <w:rPr>
          <w:rFonts w:hint="eastAsia" w:ascii="仿宋_GB2312" w:hAnsi="仿宋_GB2312" w:eastAsia="仿宋_GB2312" w:cs="仿宋_GB2312"/>
          <w:sz w:val="32"/>
          <w:szCs w:val="32"/>
        </w:rPr>
        <w:t>万元、住房公积金</w:t>
      </w:r>
      <w:r>
        <w:rPr>
          <w:rFonts w:hint="eastAsia" w:ascii="仿宋_GB2312" w:hAnsi="仿宋_GB2312" w:eastAsia="仿宋_GB2312" w:cs="仿宋_GB2312"/>
          <w:sz w:val="32"/>
          <w:szCs w:val="32"/>
          <w:lang w:val="en-US" w:eastAsia="zh-CN"/>
        </w:rPr>
        <w:t>45.66</w:t>
      </w:r>
      <w:r>
        <w:rPr>
          <w:rFonts w:hint="eastAsia" w:ascii="仿宋_GB2312" w:hAnsi="仿宋_GB2312" w:eastAsia="仿宋_GB2312" w:cs="仿宋_GB2312"/>
          <w:sz w:val="32"/>
          <w:szCs w:val="32"/>
        </w:rPr>
        <w:t>万元、生活补助</w:t>
      </w:r>
      <w:r>
        <w:rPr>
          <w:rFonts w:hint="eastAsia" w:ascii="仿宋_GB2312" w:hAnsi="仿宋_GB2312" w:eastAsia="仿宋_GB2312" w:cs="仿宋_GB2312"/>
          <w:sz w:val="32"/>
          <w:szCs w:val="32"/>
          <w:lang w:val="en-US" w:eastAsia="zh-CN"/>
        </w:rPr>
        <w:t>2.82</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公用经费</w:t>
      </w:r>
      <w:r>
        <w:rPr>
          <w:rFonts w:hint="eastAsia" w:ascii="仿宋_GB2312" w:hAnsi="仿宋_GB2312" w:eastAsia="仿宋_GB2312" w:cs="仿宋_GB2312"/>
          <w:sz w:val="32"/>
          <w:szCs w:val="32"/>
          <w:lang w:val="en-US" w:eastAsia="zh-CN"/>
        </w:rPr>
        <w:t>54.53</w:t>
      </w:r>
      <w:r>
        <w:rPr>
          <w:rFonts w:hint="eastAsia" w:ascii="仿宋_GB2312" w:hAnsi="仿宋_GB2312" w:eastAsia="仿宋_GB2312" w:cs="仿宋_GB2312"/>
          <w:sz w:val="32"/>
          <w:szCs w:val="32"/>
        </w:rPr>
        <w:t>万元，主要包括：办公费</w:t>
      </w:r>
      <w:r>
        <w:rPr>
          <w:rFonts w:hint="eastAsia" w:ascii="仿宋_GB2312" w:hAnsi="仿宋_GB2312" w:eastAsia="仿宋_GB2312" w:cs="仿宋_GB2312"/>
          <w:sz w:val="32"/>
          <w:szCs w:val="32"/>
          <w:lang w:val="en-US" w:eastAsia="zh-CN"/>
        </w:rPr>
        <w:t>16.66</w:t>
      </w:r>
      <w:r>
        <w:rPr>
          <w:rFonts w:hint="eastAsia" w:ascii="仿宋_GB2312" w:hAnsi="仿宋_GB2312" w:eastAsia="仿宋_GB2312" w:cs="仿宋_GB2312"/>
          <w:sz w:val="32"/>
          <w:szCs w:val="32"/>
        </w:rPr>
        <w:t>万元、电费</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万元、邮电费</w:t>
      </w:r>
      <w:r>
        <w:rPr>
          <w:rFonts w:hint="eastAsia" w:ascii="仿宋_GB2312" w:hAnsi="仿宋_GB2312" w:eastAsia="仿宋_GB2312" w:cs="仿宋_GB2312"/>
          <w:sz w:val="32"/>
          <w:szCs w:val="32"/>
          <w:lang w:val="en-US" w:eastAsia="zh-CN"/>
        </w:rPr>
        <w:t>3.36</w:t>
      </w:r>
      <w:r>
        <w:rPr>
          <w:rFonts w:hint="eastAsia" w:ascii="仿宋_GB2312" w:hAnsi="仿宋_GB2312" w:eastAsia="仿宋_GB2312" w:cs="仿宋_GB2312"/>
          <w:sz w:val="32"/>
          <w:szCs w:val="32"/>
        </w:rPr>
        <w:t>万元、差旅费</w:t>
      </w:r>
      <w:r>
        <w:rPr>
          <w:rFonts w:hint="eastAsia" w:ascii="仿宋_GB2312" w:hAnsi="仿宋_GB2312" w:eastAsia="仿宋_GB2312" w:cs="仿宋_GB2312"/>
          <w:sz w:val="32"/>
          <w:szCs w:val="32"/>
          <w:lang w:val="en-US" w:eastAsia="zh-CN"/>
        </w:rPr>
        <w:t>6.68</w:t>
      </w:r>
      <w:r>
        <w:rPr>
          <w:rFonts w:hint="eastAsia" w:ascii="仿宋_GB2312" w:hAnsi="仿宋_GB2312" w:eastAsia="仿宋_GB2312" w:cs="仿宋_GB2312"/>
          <w:sz w:val="32"/>
          <w:szCs w:val="32"/>
        </w:rPr>
        <w:t>万元、培训费0.</w:t>
      </w:r>
      <w:r>
        <w:rPr>
          <w:rFonts w:hint="eastAsia" w:ascii="仿宋_GB2312" w:hAnsi="仿宋_GB2312" w:eastAsia="仿宋_GB2312" w:cs="仿宋_GB2312"/>
          <w:sz w:val="32"/>
          <w:szCs w:val="32"/>
          <w:lang w:val="en-US" w:eastAsia="zh-CN"/>
        </w:rPr>
        <w:t>38</w:t>
      </w:r>
      <w:r>
        <w:rPr>
          <w:rFonts w:hint="eastAsia" w:ascii="仿宋_GB2312" w:hAnsi="仿宋_GB2312" w:eastAsia="仿宋_GB2312" w:cs="仿宋_GB2312"/>
          <w:sz w:val="32"/>
          <w:szCs w:val="32"/>
        </w:rPr>
        <w:t>万元、公务接待费</w:t>
      </w:r>
      <w:r>
        <w:rPr>
          <w:rFonts w:hint="eastAsia" w:ascii="仿宋_GB2312" w:hAnsi="仿宋_GB2312" w:eastAsia="仿宋_GB2312" w:cs="仿宋_GB2312"/>
          <w:sz w:val="32"/>
          <w:szCs w:val="32"/>
          <w:lang w:val="en-US" w:eastAsia="zh-CN"/>
        </w:rPr>
        <w:t>1.19</w:t>
      </w:r>
      <w:r>
        <w:rPr>
          <w:rFonts w:hint="eastAsia" w:ascii="仿宋_GB2312" w:hAnsi="仿宋_GB2312" w:eastAsia="仿宋_GB2312" w:cs="仿宋_GB2312"/>
          <w:sz w:val="32"/>
          <w:szCs w:val="32"/>
        </w:rPr>
        <w:t>万元、工会经费</w:t>
      </w:r>
      <w:r>
        <w:rPr>
          <w:rFonts w:hint="eastAsia" w:ascii="仿宋_GB2312" w:hAnsi="仿宋_GB2312" w:eastAsia="仿宋_GB2312" w:cs="仿宋_GB2312"/>
          <w:sz w:val="32"/>
          <w:szCs w:val="32"/>
          <w:lang w:val="en-US" w:eastAsia="zh-CN"/>
        </w:rPr>
        <w:t>4.28</w:t>
      </w:r>
      <w:r>
        <w:rPr>
          <w:rFonts w:hint="eastAsia" w:ascii="仿宋_GB2312" w:hAnsi="仿宋_GB2312" w:eastAsia="仿宋_GB2312" w:cs="仿宋_GB2312"/>
          <w:sz w:val="32"/>
          <w:szCs w:val="32"/>
        </w:rPr>
        <w:t>万元、其他交通费</w:t>
      </w:r>
      <w:r>
        <w:rPr>
          <w:rFonts w:hint="eastAsia" w:ascii="仿宋_GB2312" w:hAnsi="仿宋_GB2312" w:eastAsia="仿宋_GB2312" w:cs="仿宋_GB2312"/>
          <w:sz w:val="32"/>
          <w:szCs w:val="32"/>
          <w:lang w:val="en-US" w:eastAsia="zh-CN"/>
        </w:rPr>
        <w:t>19.69</w:t>
      </w:r>
      <w:r>
        <w:rPr>
          <w:rFonts w:hint="eastAsia" w:ascii="仿宋_GB2312" w:hAnsi="仿宋_GB2312" w:eastAsia="仿宋_GB2312" w:cs="仿宋_GB2312"/>
          <w:sz w:val="32"/>
          <w:szCs w:val="32"/>
        </w:rPr>
        <w:t>万元。</w:t>
      </w:r>
    </w:p>
    <w:p w14:paraId="5618CBBD">
      <w:pPr>
        <w:spacing w:line="600" w:lineRule="exact"/>
        <w:ind w:firstLine="640" w:firstLineChars="200"/>
        <w:outlineLvl w:val="1"/>
        <w:rPr>
          <w:rStyle w:val="29"/>
          <w:rFonts w:ascii="黑体" w:hAnsi="黑体" w:eastAsia="黑体"/>
          <w:b w:val="0"/>
        </w:rPr>
      </w:pPr>
      <w:bookmarkStart w:id="37" w:name="_Toc15377215"/>
      <w:bookmarkStart w:id="38" w:name="_Toc15396609"/>
      <w:r>
        <w:rPr>
          <w:rFonts w:hint="eastAsia" w:ascii="黑体" w:eastAsia="黑体"/>
          <w:sz w:val="32"/>
          <w:szCs w:val="32"/>
        </w:rPr>
        <w:t>七、</w:t>
      </w:r>
      <w:r>
        <w:rPr>
          <w:rStyle w:val="29"/>
          <w:rFonts w:hint="eastAsia" w:ascii="黑体" w:hAnsi="黑体" w:eastAsia="黑体"/>
          <w:b w:val="0"/>
        </w:rPr>
        <w:t>财政拨款</w:t>
      </w:r>
      <w:r>
        <w:rPr>
          <w:rStyle w:val="29"/>
          <w:rFonts w:hint="eastAsia" w:ascii="黑体" w:hAnsi="黑体" w:eastAsia="黑体"/>
        </w:rPr>
        <w:t>“</w:t>
      </w:r>
      <w:r>
        <w:rPr>
          <w:rStyle w:val="29"/>
          <w:rFonts w:hint="eastAsia" w:ascii="黑体" w:hAnsi="黑体" w:eastAsia="黑体"/>
          <w:b w:val="0"/>
        </w:rPr>
        <w:t>三公”经费支出决算情况说明</w:t>
      </w:r>
      <w:bookmarkEnd w:id="37"/>
      <w:bookmarkEnd w:id="38"/>
    </w:p>
    <w:p w14:paraId="43182B70">
      <w:pPr>
        <w:spacing w:line="600" w:lineRule="exact"/>
        <w:ind w:firstLine="640"/>
        <w:outlineLvl w:val="2"/>
        <w:rPr>
          <w:rFonts w:hint="eastAsia" w:ascii="楷体_GB2312" w:hAnsi="楷体_GB2312" w:eastAsia="楷体_GB2312" w:cs="楷体_GB2312"/>
          <w:b/>
          <w:sz w:val="32"/>
          <w:szCs w:val="32"/>
        </w:rPr>
      </w:pPr>
      <w:bookmarkStart w:id="39" w:name="_Toc15377216"/>
      <w:r>
        <w:rPr>
          <w:rFonts w:hint="eastAsia" w:ascii="楷体_GB2312" w:hAnsi="楷体_GB2312" w:eastAsia="楷体_GB2312" w:cs="楷体_GB2312"/>
          <w:b/>
          <w:sz w:val="32"/>
          <w:szCs w:val="32"/>
        </w:rPr>
        <w:t>（一）“三公”经费财政拨款支出决算总体情况说明</w:t>
      </w:r>
      <w:bookmarkEnd w:id="39"/>
    </w:p>
    <w:p w14:paraId="318496E5">
      <w:pPr>
        <w:pStyle w:val="2"/>
        <w:keepNext w:val="0"/>
        <w:keepLines w:val="0"/>
        <w:pageBreakBefore w:val="0"/>
        <w:kinsoku/>
        <w:wordWrap/>
        <w:overflowPunct/>
        <w:topLinePunct w:val="0"/>
        <w:autoSpaceDE/>
        <w:autoSpaceDN/>
        <w:bidi w:val="0"/>
        <w:spacing w:beforeLines="0" w:line="560" w:lineRule="exact"/>
        <w:ind w:firstLine="640" w:firstLineChars="200"/>
        <w:textAlignment w:val="auto"/>
        <w:rPr>
          <w:rFonts w:hint="eastAsia" w:ascii="仿宋_GB2312" w:hAnsi="仿宋_GB2312" w:eastAsia="仿宋_GB2312" w:cs="仿宋_GB2312"/>
          <w:color w:val="auto"/>
          <w:kern w:val="0"/>
          <w:sz w:val="32"/>
          <w:szCs w:val="24"/>
          <w:lang w:val="en-US" w:eastAsia="zh-CN" w:bidi="ar-SA"/>
        </w:rPr>
      </w:pPr>
      <w:r>
        <w:rPr>
          <w:rFonts w:hint="eastAsia" w:ascii="仿宋_GB2312" w:hAnsi="仿宋_GB2312" w:eastAsia="仿宋_GB2312" w:cs="仿宋_GB2312"/>
          <w:sz w:val="32"/>
          <w:szCs w:val="32"/>
          <w:lang w:eastAsia="zh-CN"/>
        </w:rPr>
        <w:t>2023</w:t>
      </w:r>
      <w:r>
        <w:rPr>
          <w:rFonts w:hint="eastAsia" w:ascii="仿宋_GB2312" w:hAnsi="仿宋_GB2312" w:eastAsia="仿宋_GB2312" w:cs="仿宋_GB2312"/>
          <w:sz w:val="32"/>
          <w:szCs w:val="32"/>
        </w:rPr>
        <w:t>年“三公”经费财政拨款支出决算为</w:t>
      </w:r>
      <w:r>
        <w:rPr>
          <w:rFonts w:hint="eastAsia" w:ascii="仿宋_GB2312" w:hAnsi="仿宋_GB2312" w:eastAsia="仿宋_GB2312" w:cs="仿宋_GB2312"/>
          <w:sz w:val="32"/>
          <w:szCs w:val="32"/>
          <w:lang w:val="en-US" w:eastAsia="zh-CN"/>
        </w:rPr>
        <w:t>1.19</w:t>
      </w:r>
      <w:r>
        <w:rPr>
          <w:rFonts w:hint="eastAsia" w:ascii="仿宋_GB2312" w:hAnsi="仿宋_GB2312" w:eastAsia="仿宋_GB2312" w:cs="仿宋_GB2312"/>
          <w:sz w:val="32"/>
          <w:szCs w:val="32"/>
        </w:rPr>
        <w:t>万元，完成预算</w:t>
      </w:r>
      <w:r>
        <w:rPr>
          <w:rFonts w:hint="eastAsia" w:ascii="仿宋_GB2312" w:hAnsi="仿宋_GB2312" w:eastAsia="仿宋_GB2312" w:cs="仿宋_GB2312"/>
          <w:sz w:val="32"/>
          <w:szCs w:val="32"/>
          <w:lang w:val="en-US" w:eastAsia="zh-CN"/>
        </w:rPr>
        <w:t>0.44</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170.45</w:t>
      </w:r>
      <w:r>
        <w:rPr>
          <w:rFonts w:hint="eastAsia" w:ascii="仿宋_GB2312" w:hAnsi="仿宋_GB2312" w:eastAsia="仿宋_GB2312" w:cs="仿宋_GB2312"/>
          <w:sz w:val="32"/>
          <w:szCs w:val="32"/>
        </w:rPr>
        <w:t>%，较上年</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lang w:val="en-US" w:eastAsia="zh-CN"/>
        </w:rPr>
        <w:t>0.75</w:t>
      </w:r>
      <w:r>
        <w:rPr>
          <w:rFonts w:hint="eastAsia" w:ascii="仿宋_GB2312" w:hAnsi="仿宋_GB2312" w:eastAsia="仿宋_GB2312" w:cs="仿宋_GB2312"/>
          <w:sz w:val="32"/>
          <w:szCs w:val="32"/>
        </w:rPr>
        <w:t>万元，</w:t>
      </w:r>
      <w:r>
        <w:rPr>
          <w:rFonts w:hint="eastAsia" w:ascii="仿宋_GB2312" w:hAnsi="仿宋_GB2312" w:eastAsia="仿宋_GB2312" w:cs="仿宋_GB2312"/>
          <w:color w:val="auto"/>
          <w:kern w:val="0"/>
          <w:sz w:val="32"/>
          <w:szCs w:val="24"/>
          <w:lang w:val="en-US" w:eastAsia="zh-CN" w:bidi="ar-SA"/>
        </w:rPr>
        <w:t>超预算支出的主要原因是：工作职能职责增加，接受上级主管部门等单位调研指导次数增加。</w:t>
      </w:r>
    </w:p>
    <w:p w14:paraId="3983D11C">
      <w:pPr>
        <w:spacing w:line="600" w:lineRule="exact"/>
        <w:ind w:firstLine="640"/>
        <w:outlineLvl w:val="2"/>
        <w:rPr>
          <w:rFonts w:hint="eastAsia" w:ascii="楷体_GB2312" w:hAnsi="楷体_GB2312" w:eastAsia="楷体_GB2312" w:cs="楷体_GB2312"/>
          <w:b/>
          <w:sz w:val="32"/>
          <w:szCs w:val="32"/>
        </w:rPr>
      </w:pPr>
      <w:bookmarkStart w:id="40" w:name="_Toc15377217"/>
      <w:r>
        <w:rPr>
          <w:rFonts w:hint="eastAsia" w:ascii="楷体_GB2312" w:hAnsi="楷体_GB2312" w:eastAsia="楷体_GB2312" w:cs="楷体_GB2312"/>
          <w:b/>
          <w:sz w:val="32"/>
          <w:szCs w:val="32"/>
        </w:rPr>
        <w:t>（二）“三公”经费财政拨款支出决算具体情况说明</w:t>
      </w:r>
      <w:bookmarkEnd w:id="40"/>
    </w:p>
    <w:p w14:paraId="0830A3C7">
      <w:pPr>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2023</w:t>
      </w:r>
      <w:r>
        <w:rPr>
          <w:rFonts w:hint="eastAsia" w:ascii="仿宋_GB2312" w:hAnsi="仿宋_GB2312" w:eastAsia="仿宋_GB2312" w:cs="仿宋_GB2312"/>
          <w:sz w:val="32"/>
          <w:szCs w:val="32"/>
        </w:rPr>
        <w:t>年“三公”经费财政拨款支出决算中，因公出国（境）费支出决算0万元，占0%；公务用车购置及运行维护费支出决算0万元，占0%；公务接待费支出决算</w:t>
      </w:r>
      <w:r>
        <w:rPr>
          <w:rFonts w:hint="eastAsia" w:ascii="仿宋_GB2312" w:hAnsi="仿宋_GB2312" w:eastAsia="仿宋_GB2312" w:cs="仿宋_GB2312"/>
          <w:sz w:val="32"/>
          <w:szCs w:val="32"/>
          <w:lang w:val="en-US" w:eastAsia="zh-CN"/>
        </w:rPr>
        <w:t>1.19</w:t>
      </w:r>
      <w:r>
        <w:rPr>
          <w:rFonts w:hint="eastAsia" w:ascii="仿宋_GB2312" w:hAnsi="仿宋_GB2312" w:eastAsia="仿宋_GB2312" w:cs="仿宋_GB2312"/>
          <w:sz w:val="32"/>
          <w:szCs w:val="32"/>
        </w:rPr>
        <w:t>万元，占100%。具体情况如下：</w:t>
      </w:r>
    </w:p>
    <w:p w14:paraId="5536BD6A">
      <w:pPr>
        <w:spacing w:line="600" w:lineRule="exact"/>
        <w:ind w:firstLine="643" w:firstLineChars="200"/>
        <w:rPr>
          <w:rStyle w:val="17"/>
          <w:rFonts w:ascii="仿宋" w:hAnsi="仿宋" w:eastAsia="仿宋"/>
          <w:b w:val="0"/>
          <w:bCs/>
          <w:sz w:val="32"/>
          <w:szCs w:val="32"/>
        </w:rPr>
      </w:pPr>
      <w:r>
        <w:rPr>
          <w:rFonts w:hint="eastAsia" w:ascii="仿宋_GB2312" w:eastAsia="仿宋_GB2312"/>
          <w:b/>
          <w:sz w:val="32"/>
          <w:szCs w:val="32"/>
        </w:rPr>
        <w:t>1.因公出国（境）经费支出</w:t>
      </w:r>
      <w:r>
        <w:rPr>
          <w:rFonts w:hint="eastAsia" w:ascii="仿宋_GB2312" w:eastAsia="仿宋_GB2312"/>
          <w:b/>
          <w:sz w:val="32"/>
          <w:szCs w:val="32"/>
          <w:lang w:eastAsia="zh-CN"/>
        </w:rPr>
        <w:t>：</w:t>
      </w:r>
      <w:r>
        <w:rPr>
          <w:rFonts w:hint="eastAsia" w:ascii="仿宋_GB2312" w:eastAsia="仿宋_GB2312"/>
          <w:sz w:val="32"/>
          <w:szCs w:val="32"/>
        </w:rPr>
        <w:t>0万元，</w:t>
      </w:r>
      <w:r>
        <w:rPr>
          <w:rFonts w:hint="eastAsia" w:ascii="仿宋_GB2312" w:eastAsia="仿宋_GB2312"/>
          <w:sz w:val="32"/>
          <w:szCs w:val="32"/>
          <w:lang w:eastAsia="zh-CN"/>
        </w:rPr>
        <w:t>2023</w:t>
      </w:r>
      <w:r>
        <w:rPr>
          <w:rFonts w:hint="eastAsia" w:ascii="仿宋_GB2312" w:eastAsia="仿宋_GB2312"/>
          <w:sz w:val="32"/>
          <w:szCs w:val="32"/>
        </w:rPr>
        <w:t>年年初</w:t>
      </w:r>
      <w:r>
        <w:rPr>
          <w:rStyle w:val="17"/>
          <w:rFonts w:hint="eastAsia" w:ascii="仿宋" w:hAnsi="仿宋" w:eastAsia="仿宋"/>
          <w:b w:val="0"/>
          <w:bCs/>
          <w:sz w:val="32"/>
          <w:szCs w:val="32"/>
        </w:rPr>
        <w:t>无预算</w:t>
      </w:r>
      <w:r>
        <w:rPr>
          <w:rStyle w:val="17"/>
          <w:rFonts w:hint="eastAsia" w:ascii="仿宋" w:hAnsi="仿宋" w:eastAsia="仿宋"/>
          <w:b w:val="0"/>
          <w:bCs/>
          <w:sz w:val="32"/>
          <w:szCs w:val="32"/>
          <w:lang w:eastAsia="zh-CN"/>
        </w:rPr>
        <w:t>支出</w:t>
      </w:r>
      <w:r>
        <w:rPr>
          <w:rStyle w:val="17"/>
          <w:rFonts w:hint="eastAsia" w:ascii="仿宋" w:hAnsi="仿宋" w:eastAsia="仿宋"/>
          <w:b w:val="0"/>
          <w:bCs/>
          <w:sz w:val="32"/>
          <w:szCs w:val="32"/>
        </w:rPr>
        <w:t>。</w:t>
      </w:r>
    </w:p>
    <w:p w14:paraId="0F6D363F">
      <w:pPr>
        <w:spacing w:line="600" w:lineRule="exact"/>
        <w:ind w:firstLine="643" w:firstLineChars="200"/>
        <w:rPr>
          <w:rStyle w:val="17"/>
          <w:rFonts w:ascii="仿宋" w:hAnsi="仿宋" w:eastAsia="仿宋"/>
          <w:b w:val="0"/>
          <w:bCs/>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hint="eastAsia" w:ascii="仿宋_GB2312" w:eastAsia="仿宋_GB2312"/>
          <w:b/>
          <w:sz w:val="32"/>
          <w:szCs w:val="32"/>
          <w:lang w:eastAsia="zh-CN"/>
        </w:rPr>
        <w:t>：</w:t>
      </w:r>
      <w:r>
        <w:rPr>
          <w:rFonts w:hint="eastAsia" w:ascii="仿宋_GB2312" w:eastAsia="仿宋_GB2312"/>
          <w:sz w:val="32"/>
          <w:szCs w:val="32"/>
        </w:rPr>
        <w:t>0万元,</w:t>
      </w:r>
      <w:r>
        <w:rPr>
          <w:rFonts w:hint="eastAsia" w:ascii="仿宋_GB2312" w:eastAsia="仿宋_GB2312"/>
          <w:sz w:val="32"/>
          <w:szCs w:val="32"/>
          <w:lang w:eastAsia="zh-CN"/>
        </w:rPr>
        <w:t>2023</w:t>
      </w:r>
      <w:r>
        <w:rPr>
          <w:rFonts w:hint="eastAsia" w:ascii="仿宋_GB2312" w:eastAsia="仿宋_GB2312"/>
          <w:sz w:val="32"/>
          <w:szCs w:val="32"/>
        </w:rPr>
        <w:t>年年初</w:t>
      </w:r>
      <w:r>
        <w:rPr>
          <w:rStyle w:val="17"/>
          <w:rFonts w:hint="eastAsia" w:ascii="仿宋" w:hAnsi="仿宋" w:eastAsia="仿宋"/>
          <w:b w:val="0"/>
          <w:bCs/>
          <w:sz w:val="32"/>
          <w:szCs w:val="32"/>
        </w:rPr>
        <w:t>无预算</w:t>
      </w:r>
      <w:r>
        <w:rPr>
          <w:rStyle w:val="17"/>
          <w:rFonts w:hint="eastAsia" w:ascii="仿宋" w:hAnsi="仿宋" w:eastAsia="仿宋"/>
          <w:b w:val="0"/>
          <w:bCs/>
          <w:sz w:val="32"/>
          <w:szCs w:val="32"/>
          <w:lang w:eastAsia="zh-CN"/>
        </w:rPr>
        <w:t>支出</w:t>
      </w:r>
      <w:r>
        <w:rPr>
          <w:rStyle w:val="17"/>
          <w:rFonts w:hint="eastAsia" w:ascii="仿宋" w:hAnsi="仿宋" w:eastAsia="仿宋"/>
          <w:b w:val="0"/>
          <w:bCs/>
          <w:sz w:val="32"/>
          <w:szCs w:val="32"/>
        </w:rPr>
        <w:t>。</w:t>
      </w:r>
    </w:p>
    <w:p w14:paraId="1C2F624E">
      <w:pPr>
        <w:pStyle w:val="2"/>
        <w:keepNext w:val="0"/>
        <w:keepLines w:val="0"/>
        <w:pageBreakBefore w:val="0"/>
        <w:kinsoku/>
        <w:wordWrap/>
        <w:overflowPunct/>
        <w:topLinePunct w:val="0"/>
        <w:autoSpaceDE/>
        <w:autoSpaceDN/>
        <w:bidi w:val="0"/>
        <w:spacing w:beforeLines="0" w:line="560" w:lineRule="exact"/>
        <w:ind w:firstLine="643" w:firstLineChars="200"/>
        <w:textAlignment w:val="auto"/>
        <w:rPr>
          <w:rFonts w:hint="eastAsia" w:ascii="仿宋_GB2312" w:hAnsi="仿宋_GB2312" w:eastAsia="仿宋_GB2312" w:cs="仿宋_GB2312"/>
          <w:color w:val="auto"/>
          <w:kern w:val="0"/>
          <w:sz w:val="32"/>
          <w:szCs w:val="24"/>
          <w:lang w:val="en-US" w:eastAsia="zh-CN" w:bidi="ar-SA"/>
        </w:rPr>
      </w:pPr>
      <w:r>
        <w:rPr>
          <w:rFonts w:ascii="仿宋_GB2312" w:eastAsia="仿宋_GB2312"/>
          <w:b/>
          <w:sz w:val="32"/>
          <w:szCs w:val="32"/>
        </w:rPr>
        <w:t>3.</w:t>
      </w:r>
      <w:r>
        <w:rPr>
          <w:rFonts w:hint="eastAsia" w:ascii="仿宋_GB2312" w:eastAsia="仿宋_GB2312"/>
          <w:b/>
          <w:sz w:val="32"/>
          <w:szCs w:val="32"/>
        </w:rPr>
        <w:t>公务接待费支出</w:t>
      </w:r>
      <w:r>
        <w:rPr>
          <w:rFonts w:hint="eastAsia"/>
          <w:b/>
          <w:sz w:val="32"/>
          <w:szCs w:val="32"/>
          <w:lang w:eastAsia="zh-CN"/>
        </w:rPr>
        <w:t>：</w:t>
      </w:r>
      <w:r>
        <w:rPr>
          <w:rFonts w:hint="eastAsia" w:ascii="仿宋_GB2312" w:hAnsi="仿宋_GB2312" w:eastAsia="仿宋_GB2312" w:cs="仿宋_GB2312"/>
          <w:sz w:val="32"/>
          <w:szCs w:val="32"/>
          <w:lang w:val="en-US" w:eastAsia="zh-CN"/>
        </w:rPr>
        <w:t>1.19</w:t>
      </w:r>
      <w:r>
        <w:rPr>
          <w:rFonts w:hint="eastAsia" w:ascii="仿宋_GB2312" w:hAnsi="仿宋_GB2312" w:eastAsia="仿宋_GB2312" w:cs="仿宋_GB2312"/>
          <w:sz w:val="32"/>
          <w:szCs w:val="32"/>
        </w:rPr>
        <w:t>万元，</w:t>
      </w:r>
      <w:r>
        <w:rPr>
          <w:rStyle w:val="17"/>
          <w:rFonts w:hint="eastAsia" w:ascii="仿宋_GB2312" w:hAnsi="仿宋_GB2312" w:eastAsia="仿宋_GB2312" w:cs="仿宋_GB2312"/>
          <w:b w:val="0"/>
          <w:bCs/>
          <w:sz w:val="32"/>
          <w:szCs w:val="32"/>
        </w:rPr>
        <w:t>完成预算</w:t>
      </w:r>
      <w:r>
        <w:rPr>
          <w:rStyle w:val="17"/>
          <w:rFonts w:hint="eastAsia" w:ascii="仿宋_GB2312" w:hAnsi="仿宋_GB2312" w:eastAsia="仿宋_GB2312" w:cs="仿宋_GB2312"/>
          <w:b w:val="0"/>
          <w:bCs/>
          <w:sz w:val="32"/>
          <w:szCs w:val="32"/>
          <w:lang w:val="en-US" w:eastAsia="zh-CN"/>
        </w:rPr>
        <w:t>170.45</w:t>
      </w:r>
      <w:r>
        <w:rPr>
          <w:rStyle w:val="17"/>
          <w:rFonts w:hint="eastAsia" w:ascii="仿宋_GB2312" w:hAnsi="仿宋_GB2312" w:eastAsia="仿宋_GB2312" w:cs="仿宋_GB2312"/>
          <w:b w:val="0"/>
          <w:bCs/>
          <w:sz w:val="32"/>
          <w:szCs w:val="32"/>
        </w:rPr>
        <w:t>%。</w:t>
      </w:r>
      <w:r>
        <w:rPr>
          <w:rFonts w:hint="eastAsia" w:ascii="仿宋_GB2312" w:hAnsi="仿宋_GB2312" w:eastAsia="仿宋_GB2312" w:cs="仿宋_GB2312"/>
          <w:sz w:val="32"/>
          <w:szCs w:val="32"/>
        </w:rPr>
        <w:t>公务接待费支出决算比202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lang w:val="en-US" w:eastAsia="zh-CN"/>
        </w:rPr>
        <w:t>0.75</w:t>
      </w:r>
      <w:r>
        <w:rPr>
          <w:rFonts w:hint="eastAsia" w:ascii="仿宋_GB2312" w:hAnsi="仿宋_GB2312" w:eastAsia="仿宋_GB2312" w:cs="仿宋_GB2312"/>
          <w:sz w:val="32"/>
          <w:szCs w:val="32"/>
        </w:rPr>
        <w:t>万元。</w:t>
      </w:r>
      <w:r>
        <w:rPr>
          <w:rFonts w:hint="eastAsia" w:ascii="仿宋_GB2312" w:hAnsi="仿宋_GB2312" w:eastAsia="仿宋_GB2312" w:cs="仿宋_GB2312"/>
          <w:color w:val="auto"/>
          <w:kern w:val="0"/>
          <w:sz w:val="32"/>
          <w:szCs w:val="24"/>
          <w:lang w:val="en-US" w:eastAsia="zh-CN" w:bidi="ar-SA"/>
        </w:rPr>
        <w:t>超预算支出的主要原因是：工作职能职责增加，接受上级主管部门等单位调研指导次数增加。</w:t>
      </w:r>
    </w:p>
    <w:p w14:paraId="3CD7AC91">
      <w:pPr>
        <w:spacing w:line="600" w:lineRule="exact"/>
        <w:ind w:firstLine="643" w:firstLineChars="200"/>
        <w:rPr>
          <w:rFonts w:hint="eastAsia" w:ascii="仿宋_GB2312" w:hAnsi="仿宋_GB2312" w:eastAsia="仿宋_GB2312" w:cs="仿宋_GB2312"/>
          <w:sz w:val="32"/>
          <w:szCs w:val="32"/>
        </w:rPr>
      </w:pPr>
      <w:r>
        <w:rPr>
          <w:rFonts w:hint="eastAsia" w:ascii="仿宋" w:hAnsi="仿宋" w:eastAsia="仿宋"/>
          <w:b/>
          <w:sz w:val="32"/>
          <w:szCs w:val="32"/>
        </w:rPr>
        <w:t>国内公务接待支出</w:t>
      </w:r>
      <w:r>
        <w:rPr>
          <w:rFonts w:hint="eastAsia" w:ascii="仿宋" w:hAnsi="仿宋" w:eastAsia="仿宋"/>
          <w:b/>
          <w:sz w:val="32"/>
          <w:szCs w:val="32"/>
          <w:lang w:eastAsia="zh-CN"/>
        </w:rPr>
        <w:t>：</w:t>
      </w:r>
      <w:r>
        <w:rPr>
          <w:rFonts w:hint="eastAsia" w:ascii="仿宋_GB2312" w:hAnsi="仿宋_GB2312" w:eastAsia="仿宋_GB2312" w:cs="仿宋_GB2312"/>
          <w:sz w:val="32"/>
          <w:szCs w:val="32"/>
          <w:lang w:val="en-US" w:eastAsia="zh-CN"/>
        </w:rPr>
        <w:t>1.19</w:t>
      </w:r>
      <w:r>
        <w:rPr>
          <w:rFonts w:hint="eastAsia" w:ascii="仿宋_GB2312" w:hAnsi="仿宋_GB2312" w:eastAsia="仿宋_GB2312" w:cs="仿宋_GB2312"/>
          <w:sz w:val="32"/>
          <w:szCs w:val="32"/>
        </w:rPr>
        <w:t>万元，主要用于市医保局来南江工作调研的用餐费。国内公务接待</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批次，</w:t>
      </w:r>
      <w:r>
        <w:rPr>
          <w:rFonts w:hint="eastAsia" w:ascii="仿宋_GB2312" w:hAnsi="仿宋_GB2312" w:eastAsia="仿宋_GB2312" w:cs="仿宋_GB2312"/>
          <w:sz w:val="32"/>
          <w:szCs w:val="32"/>
          <w:lang w:val="en-US" w:eastAsia="zh-CN"/>
        </w:rPr>
        <w:t>122</w:t>
      </w:r>
      <w:r>
        <w:rPr>
          <w:rFonts w:hint="eastAsia" w:ascii="仿宋_GB2312" w:hAnsi="仿宋_GB2312" w:eastAsia="仿宋_GB2312" w:cs="仿宋_GB2312"/>
          <w:sz w:val="32"/>
          <w:szCs w:val="32"/>
        </w:rPr>
        <w:t>人次，共计支出</w:t>
      </w:r>
      <w:r>
        <w:rPr>
          <w:rFonts w:hint="eastAsia" w:ascii="仿宋_GB2312" w:hAnsi="仿宋_GB2312" w:eastAsia="仿宋_GB2312" w:cs="仿宋_GB2312"/>
          <w:sz w:val="32"/>
          <w:szCs w:val="32"/>
          <w:lang w:val="en-US" w:eastAsia="zh-CN"/>
        </w:rPr>
        <w:t>1.19</w:t>
      </w:r>
      <w:r>
        <w:rPr>
          <w:rFonts w:hint="eastAsia" w:ascii="仿宋_GB2312" w:hAnsi="仿宋_GB2312" w:eastAsia="仿宋_GB2312" w:cs="仿宋_GB2312"/>
          <w:sz w:val="32"/>
          <w:szCs w:val="32"/>
        </w:rPr>
        <w:t>万元。</w:t>
      </w:r>
    </w:p>
    <w:p w14:paraId="472FA5CA">
      <w:pPr>
        <w:spacing w:line="600" w:lineRule="exact"/>
        <w:ind w:firstLine="640" w:firstLineChars="200"/>
        <w:outlineLvl w:val="1"/>
        <w:rPr>
          <w:rStyle w:val="29"/>
          <w:rFonts w:ascii="黑体" w:hAnsi="黑体" w:eastAsia="黑体"/>
        </w:rPr>
      </w:pPr>
      <w:bookmarkStart w:id="41" w:name="_Toc15377218"/>
      <w:bookmarkStart w:id="42" w:name="_Toc15396610"/>
      <w:r>
        <w:rPr>
          <w:rFonts w:hint="eastAsia" w:ascii="黑体" w:eastAsia="黑体"/>
          <w:sz w:val="32"/>
          <w:szCs w:val="32"/>
        </w:rPr>
        <w:t>八、</w:t>
      </w:r>
      <w:r>
        <w:rPr>
          <w:rStyle w:val="29"/>
          <w:rFonts w:hint="eastAsia" w:ascii="黑体" w:hAnsi="黑体" w:eastAsia="黑体"/>
          <w:b w:val="0"/>
        </w:rPr>
        <w:t>政府性基金预算支出决算情况说明</w:t>
      </w:r>
      <w:bookmarkEnd w:id="41"/>
      <w:bookmarkEnd w:id="42"/>
    </w:p>
    <w:p w14:paraId="051D5637">
      <w:pPr>
        <w:spacing w:line="600" w:lineRule="exact"/>
        <w:ind w:firstLine="640"/>
        <w:rPr>
          <w:rFonts w:ascii="仿宋_GB2312" w:eastAsia="仿宋_GB2312"/>
          <w:sz w:val="32"/>
          <w:szCs w:val="32"/>
        </w:rPr>
      </w:pPr>
      <w:r>
        <w:rPr>
          <w:rFonts w:hint="eastAsia" w:ascii="仿宋_GB2312" w:eastAsia="仿宋_GB2312"/>
          <w:sz w:val="32"/>
          <w:szCs w:val="32"/>
          <w:lang w:eastAsia="zh-CN"/>
        </w:rPr>
        <w:t>2023</w:t>
      </w:r>
      <w:r>
        <w:rPr>
          <w:rFonts w:hint="eastAsia" w:ascii="仿宋_GB2312" w:eastAsia="仿宋_GB2312"/>
          <w:sz w:val="32"/>
          <w:szCs w:val="32"/>
        </w:rPr>
        <w:t>年政府性基金预算财政拨款支出</w:t>
      </w:r>
      <w:r>
        <w:rPr>
          <w:rFonts w:hint="eastAsia" w:ascii="仿宋_GB2312" w:eastAsia="仿宋_GB2312"/>
          <w:sz w:val="32"/>
          <w:szCs w:val="32"/>
          <w:lang w:eastAsia="zh-CN"/>
        </w:rPr>
        <w:t>决算为</w:t>
      </w:r>
      <w:r>
        <w:rPr>
          <w:rFonts w:hint="eastAsia" w:ascii="仿宋_GB2312" w:eastAsia="仿宋_GB2312"/>
          <w:sz w:val="32"/>
          <w:szCs w:val="32"/>
          <w:lang w:val="en-US" w:eastAsia="zh-CN"/>
        </w:rPr>
        <w:t>4.52</w:t>
      </w:r>
      <w:r>
        <w:rPr>
          <w:rFonts w:hint="eastAsia" w:ascii="仿宋_GB2312" w:eastAsia="仿宋_GB2312"/>
          <w:sz w:val="32"/>
          <w:szCs w:val="32"/>
        </w:rPr>
        <w:t>万元</w:t>
      </w:r>
      <w:r>
        <w:rPr>
          <w:rFonts w:hint="eastAsia" w:ascii="仿宋_GB2312" w:eastAsia="仿宋_GB2312"/>
          <w:sz w:val="32"/>
          <w:szCs w:val="32"/>
          <w:lang w:eastAsia="zh-CN"/>
        </w:rPr>
        <w:t>，主要用于新冠患者救治</w:t>
      </w:r>
      <w:r>
        <w:rPr>
          <w:rFonts w:hint="eastAsia" w:ascii="仿宋_GB2312" w:eastAsia="仿宋_GB2312"/>
          <w:sz w:val="32"/>
          <w:szCs w:val="32"/>
        </w:rPr>
        <w:t>。</w:t>
      </w:r>
    </w:p>
    <w:p w14:paraId="554A46EB">
      <w:pPr>
        <w:numPr>
          <w:ilvl w:val="0"/>
          <w:numId w:val="1"/>
        </w:numPr>
        <w:spacing w:line="600" w:lineRule="exact"/>
        <w:ind w:firstLine="640"/>
        <w:outlineLvl w:val="1"/>
        <w:rPr>
          <w:rStyle w:val="29"/>
          <w:rFonts w:ascii="黑体" w:hAnsi="黑体" w:eastAsia="黑体"/>
          <w:b w:val="0"/>
        </w:rPr>
      </w:pPr>
      <w:bookmarkStart w:id="43" w:name="_Toc15396611"/>
      <w:bookmarkStart w:id="44" w:name="_Toc15377219"/>
      <w:r>
        <w:rPr>
          <w:rStyle w:val="29"/>
          <w:rFonts w:hint="eastAsia" w:ascii="黑体" w:hAnsi="黑体" w:eastAsia="黑体"/>
          <w:b w:val="0"/>
        </w:rPr>
        <w:t>国有资本经营预算支出决算情况说明</w:t>
      </w:r>
      <w:bookmarkEnd w:id="43"/>
      <w:bookmarkEnd w:id="44"/>
    </w:p>
    <w:p w14:paraId="4470EF6E">
      <w:pPr>
        <w:spacing w:line="600" w:lineRule="exact"/>
        <w:ind w:firstLine="640"/>
        <w:rPr>
          <w:rFonts w:ascii="方正小标宋简体" w:hAnsi="方正小标宋简体" w:eastAsia="方正小标宋简体" w:cs="方正小标宋简体"/>
          <w:sz w:val="44"/>
          <w:szCs w:val="44"/>
        </w:rPr>
      </w:pPr>
      <w:r>
        <w:rPr>
          <w:rFonts w:hint="eastAsia" w:ascii="仿宋_GB2312" w:eastAsia="仿宋_GB2312"/>
          <w:sz w:val="32"/>
          <w:szCs w:val="32"/>
          <w:lang w:eastAsia="zh-CN"/>
        </w:rPr>
        <w:t>2023</w:t>
      </w:r>
      <w:r>
        <w:rPr>
          <w:rFonts w:hint="eastAsia" w:ascii="仿宋_GB2312" w:eastAsia="仿宋_GB2312"/>
          <w:sz w:val="32"/>
          <w:szCs w:val="32"/>
        </w:rPr>
        <w:t>年国有资本经营预算财政拨款支出0万元。</w:t>
      </w:r>
    </w:p>
    <w:p w14:paraId="09DA104B">
      <w:pPr>
        <w:numPr>
          <w:ilvl w:val="0"/>
          <w:numId w:val="1"/>
        </w:numPr>
        <w:spacing w:line="600" w:lineRule="exact"/>
        <w:ind w:firstLine="640"/>
        <w:outlineLvl w:val="1"/>
        <w:rPr>
          <w:rStyle w:val="29"/>
          <w:rFonts w:ascii="黑体" w:hAnsi="黑体" w:eastAsia="黑体"/>
          <w:b w:val="0"/>
        </w:rPr>
      </w:pPr>
      <w:bookmarkStart w:id="45" w:name="_Toc15377221"/>
      <w:bookmarkStart w:id="46" w:name="_Toc15396612"/>
      <w:r>
        <w:rPr>
          <w:rStyle w:val="29"/>
          <w:rFonts w:hint="eastAsia" w:ascii="黑体" w:hAnsi="黑体" w:eastAsia="黑体"/>
          <w:b w:val="0"/>
        </w:rPr>
        <w:t>其他重要事项的情况说明</w:t>
      </w:r>
      <w:bookmarkEnd w:id="45"/>
      <w:bookmarkEnd w:id="46"/>
    </w:p>
    <w:p w14:paraId="6BB23D8D">
      <w:pPr>
        <w:spacing w:line="600" w:lineRule="exact"/>
        <w:ind w:firstLine="643" w:firstLineChars="200"/>
        <w:outlineLvl w:val="2"/>
        <w:rPr>
          <w:rFonts w:hint="eastAsia" w:ascii="楷体_GB2312" w:hAnsi="楷体_GB2312" w:eastAsia="楷体_GB2312" w:cs="楷体_GB2312"/>
          <w:sz w:val="32"/>
          <w:szCs w:val="32"/>
        </w:rPr>
      </w:pPr>
      <w:bookmarkStart w:id="47" w:name="_Toc15377222"/>
      <w:r>
        <w:rPr>
          <w:rFonts w:hint="eastAsia" w:ascii="楷体_GB2312" w:hAnsi="楷体_GB2312" w:eastAsia="楷体_GB2312" w:cs="楷体_GB2312"/>
          <w:b/>
          <w:sz w:val="32"/>
          <w:szCs w:val="32"/>
        </w:rPr>
        <w:t>（一）机关运行经费支出情况</w:t>
      </w:r>
      <w:bookmarkEnd w:id="47"/>
    </w:p>
    <w:p w14:paraId="29391A69">
      <w:pPr>
        <w:spacing w:line="600" w:lineRule="exact"/>
        <w:ind w:firstLine="640" w:firstLineChars="200"/>
        <w:rPr>
          <w:rFonts w:hint="eastAsia" w:ascii="仿宋_GB2312" w:eastAsia="仿宋_GB2312"/>
          <w:sz w:val="32"/>
          <w:szCs w:val="32"/>
        </w:rPr>
      </w:pPr>
      <w:r>
        <w:rPr>
          <w:rFonts w:hint="eastAsia" w:ascii="仿宋_GB2312" w:eastAsia="仿宋_GB2312"/>
          <w:sz w:val="32"/>
          <w:szCs w:val="32"/>
          <w:lang w:eastAsia="zh-CN"/>
        </w:rPr>
        <w:t>2023</w:t>
      </w:r>
      <w:r>
        <w:rPr>
          <w:rFonts w:hint="eastAsia" w:ascii="仿宋_GB2312" w:eastAsia="仿宋_GB2312"/>
          <w:sz w:val="32"/>
          <w:szCs w:val="32"/>
        </w:rPr>
        <w:t>年，机关运行经费支出</w:t>
      </w:r>
      <w:r>
        <w:rPr>
          <w:rFonts w:hint="eastAsia" w:ascii="仿宋_GB2312" w:eastAsia="仿宋_GB2312"/>
          <w:sz w:val="32"/>
          <w:szCs w:val="32"/>
          <w:lang w:val="en-US" w:eastAsia="zh-CN"/>
        </w:rPr>
        <w:t>54.53</w:t>
      </w:r>
      <w:r>
        <w:rPr>
          <w:rFonts w:hint="eastAsia" w:ascii="仿宋_GB2312" w:eastAsia="仿宋_GB2312"/>
          <w:sz w:val="32"/>
          <w:szCs w:val="32"/>
        </w:rPr>
        <w:t>万元，比</w:t>
      </w:r>
      <w:r>
        <w:rPr>
          <w:rFonts w:ascii="仿宋_GB2312" w:eastAsia="仿宋_GB2312"/>
          <w:sz w:val="32"/>
          <w:szCs w:val="32"/>
        </w:rPr>
        <w:t>20</w:t>
      </w:r>
      <w:r>
        <w:rPr>
          <w:rFonts w:hint="eastAsia" w:ascii="仿宋_GB2312" w:eastAsia="仿宋_GB2312"/>
          <w:sz w:val="32"/>
          <w:szCs w:val="32"/>
        </w:rPr>
        <w:t>2</w:t>
      </w:r>
      <w:r>
        <w:rPr>
          <w:rFonts w:hint="eastAsia" w:ascii="仿宋_GB2312" w:eastAsia="仿宋_GB2312"/>
          <w:sz w:val="32"/>
          <w:szCs w:val="32"/>
          <w:lang w:val="en-US" w:eastAsia="zh-CN"/>
        </w:rPr>
        <w:t>2</w:t>
      </w:r>
      <w:r>
        <w:rPr>
          <w:rFonts w:hint="eastAsia" w:ascii="仿宋_GB2312" w:eastAsia="仿宋_GB2312"/>
          <w:sz w:val="32"/>
          <w:szCs w:val="32"/>
        </w:rPr>
        <w:t>年减少</w:t>
      </w:r>
      <w:r>
        <w:rPr>
          <w:rFonts w:hint="eastAsia" w:ascii="仿宋_GB2312" w:eastAsia="仿宋_GB2312"/>
          <w:sz w:val="32"/>
          <w:szCs w:val="32"/>
          <w:lang w:val="en-US" w:eastAsia="zh-CN"/>
        </w:rPr>
        <w:t>1.05</w:t>
      </w:r>
      <w:r>
        <w:rPr>
          <w:rFonts w:hint="eastAsia" w:ascii="仿宋_GB2312" w:eastAsia="仿宋_GB2312"/>
          <w:sz w:val="32"/>
          <w:szCs w:val="32"/>
        </w:rPr>
        <w:t>万元，下降</w:t>
      </w:r>
      <w:r>
        <w:rPr>
          <w:rFonts w:hint="eastAsia" w:ascii="仿宋_GB2312" w:eastAsia="仿宋_GB2312"/>
          <w:sz w:val="32"/>
          <w:szCs w:val="32"/>
          <w:lang w:val="en-US" w:eastAsia="zh-CN"/>
        </w:rPr>
        <w:t>1.89</w:t>
      </w:r>
      <w:r>
        <w:rPr>
          <w:rFonts w:ascii="仿宋_GB2312" w:eastAsia="仿宋_GB2312"/>
          <w:sz w:val="32"/>
          <w:szCs w:val="32"/>
        </w:rPr>
        <w:t>%</w:t>
      </w:r>
      <w:r>
        <w:rPr>
          <w:rFonts w:hint="eastAsia" w:ascii="仿宋_GB2312" w:eastAsia="仿宋_GB2312"/>
          <w:sz w:val="32"/>
          <w:szCs w:val="32"/>
        </w:rPr>
        <w:t>。主要原因是落实“过紧日子”思想，财政减少相应预算。</w:t>
      </w:r>
    </w:p>
    <w:p w14:paraId="78B3D70C">
      <w:pPr>
        <w:spacing w:line="600" w:lineRule="exact"/>
        <w:ind w:firstLine="643" w:firstLineChars="200"/>
        <w:outlineLvl w:val="2"/>
        <w:rPr>
          <w:rFonts w:hint="eastAsia" w:ascii="楷体_GB2312" w:hAnsi="楷体_GB2312" w:eastAsia="楷体_GB2312" w:cs="楷体_GB2312"/>
          <w:b/>
          <w:sz w:val="32"/>
          <w:szCs w:val="32"/>
        </w:rPr>
      </w:pPr>
      <w:bookmarkStart w:id="48" w:name="_Toc15377223"/>
      <w:r>
        <w:rPr>
          <w:rFonts w:hint="eastAsia" w:ascii="楷体_GB2312" w:hAnsi="楷体_GB2312" w:eastAsia="楷体_GB2312" w:cs="楷体_GB2312"/>
          <w:b/>
          <w:sz w:val="32"/>
          <w:szCs w:val="32"/>
        </w:rPr>
        <w:t>（二）政府采购支出情况</w:t>
      </w:r>
      <w:bookmarkEnd w:id="48"/>
    </w:p>
    <w:p w14:paraId="136656FE">
      <w:pPr>
        <w:spacing w:line="600" w:lineRule="exact"/>
        <w:ind w:firstLine="640" w:firstLineChars="200"/>
        <w:rPr>
          <w:rFonts w:hint="eastAsia" w:ascii="仿宋_GB2312" w:eastAsia="仿宋_GB2312"/>
          <w:sz w:val="32"/>
          <w:szCs w:val="32"/>
        </w:rPr>
      </w:pPr>
      <w:r>
        <w:rPr>
          <w:rFonts w:hint="eastAsia" w:ascii="仿宋_GB2312" w:eastAsia="仿宋_GB2312"/>
          <w:sz w:val="32"/>
          <w:szCs w:val="32"/>
          <w:lang w:eastAsia="zh-CN"/>
        </w:rPr>
        <w:t>2023</w:t>
      </w:r>
      <w:r>
        <w:rPr>
          <w:rFonts w:hint="eastAsia" w:ascii="仿宋_GB2312" w:eastAsia="仿宋_GB2312"/>
          <w:sz w:val="32"/>
          <w:szCs w:val="32"/>
        </w:rPr>
        <w:t>年，</w:t>
      </w:r>
      <w:r>
        <w:rPr>
          <w:rFonts w:hint="eastAsia" w:ascii="仿宋_GB2312" w:hAnsi="宋体" w:eastAsia="仿宋_GB2312" w:cs="宋体"/>
          <w:kern w:val="0"/>
          <w:sz w:val="32"/>
        </w:rPr>
        <w:t>南江县医疗保障局无</w:t>
      </w:r>
      <w:r>
        <w:rPr>
          <w:rFonts w:hint="eastAsia" w:ascii="仿宋_GB2312" w:eastAsia="仿宋_GB2312"/>
          <w:sz w:val="32"/>
          <w:szCs w:val="32"/>
        </w:rPr>
        <w:t>政府采购支出。</w:t>
      </w:r>
    </w:p>
    <w:p w14:paraId="0FF13924">
      <w:pPr>
        <w:spacing w:line="600" w:lineRule="exact"/>
        <w:ind w:firstLine="643" w:firstLineChars="200"/>
        <w:outlineLvl w:val="2"/>
        <w:rPr>
          <w:rFonts w:hint="eastAsia" w:ascii="楷体_GB2312" w:hAnsi="楷体_GB2312" w:eastAsia="楷体_GB2312" w:cs="楷体_GB2312"/>
          <w:b/>
          <w:sz w:val="32"/>
          <w:szCs w:val="32"/>
        </w:rPr>
      </w:pPr>
      <w:bookmarkStart w:id="49" w:name="_Toc15377224"/>
      <w:r>
        <w:rPr>
          <w:rFonts w:hint="eastAsia" w:ascii="楷体_GB2312" w:hAnsi="楷体_GB2312" w:eastAsia="楷体_GB2312" w:cs="楷体_GB2312"/>
          <w:b/>
          <w:sz w:val="32"/>
          <w:szCs w:val="32"/>
        </w:rPr>
        <w:t>（三）国有资产占有使用情况</w:t>
      </w:r>
      <w:bookmarkEnd w:id="49"/>
    </w:p>
    <w:p w14:paraId="1DA86EFA">
      <w:pPr>
        <w:autoSpaceDE w:val="0"/>
        <w:autoSpaceDN w:val="0"/>
        <w:adjustRightInd w:val="0"/>
        <w:spacing w:line="600" w:lineRule="exact"/>
        <w:ind w:firstLine="640" w:firstLineChars="200"/>
        <w:jc w:val="left"/>
        <w:rPr>
          <w:rFonts w:hint="default" w:eastAsia="仿宋_GB2312"/>
          <w:lang w:val="en-US" w:eastAsia="zh-CN"/>
        </w:rPr>
      </w:pPr>
      <w:r>
        <w:rPr>
          <w:rFonts w:hint="eastAsia" w:ascii="仿宋_GB2312" w:eastAsia="仿宋_GB2312"/>
          <w:sz w:val="32"/>
          <w:szCs w:val="32"/>
        </w:rPr>
        <w:t>截至</w:t>
      </w:r>
      <w:r>
        <w:rPr>
          <w:rFonts w:hint="eastAsia" w:ascii="仿宋_GB2312" w:eastAsia="仿宋_GB2312"/>
          <w:sz w:val="32"/>
          <w:szCs w:val="32"/>
          <w:lang w:eastAsia="zh-CN"/>
        </w:rPr>
        <w:t>2023</w:t>
      </w:r>
      <w:r>
        <w:rPr>
          <w:rFonts w:hint="eastAsia" w:ascii="仿宋_GB2312" w:eastAsia="仿宋_GB2312"/>
          <w:sz w:val="32"/>
          <w:szCs w:val="32"/>
        </w:rPr>
        <w:t>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w:t>
      </w:r>
      <w:r>
        <w:rPr>
          <w:rFonts w:hint="eastAsia" w:ascii="仿宋_GB2312" w:hAnsi="宋体" w:eastAsia="仿宋_GB2312" w:cs="宋体"/>
          <w:kern w:val="0"/>
          <w:sz w:val="32"/>
        </w:rPr>
        <w:t>南江县医疗保障局</w:t>
      </w:r>
      <w:r>
        <w:rPr>
          <w:rFonts w:hint="eastAsia" w:ascii="仿宋_GB2312" w:eastAsia="仿宋_GB2312"/>
          <w:sz w:val="32"/>
          <w:szCs w:val="32"/>
          <w:lang w:eastAsia="zh-CN"/>
        </w:rPr>
        <w:t>无公务用车，无单价</w:t>
      </w:r>
      <w:r>
        <w:rPr>
          <w:rFonts w:hint="eastAsia" w:ascii="仿宋_GB2312" w:eastAsia="仿宋_GB2312"/>
          <w:sz w:val="32"/>
          <w:szCs w:val="32"/>
          <w:lang w:val="en-US" w:eastAsia="zh-CN"/>
        </w:rPr>
        <w:t>50万元以上通用设备</w:t>
      </w:r>
      <w:r>
        <w:rPr>
          <w:rFonts w:hint="eastAsia" w:ascii="仿宋_GB2312" w:eastAsia="仿宋_GB2312"/>
          <w:sz w:val="32"/>
          <w:szCs w:val="32"/>
          <w:lang w:eastAsia="zh-CN"/>
        </w:rPr>
        <w:t>，无</w:t>
      </w:r>
      <w:r>
        <w:rPr>
          <w:rFonts w:hint="eastAsia" w:ascii="仿宋_GB2312" w:eastAsia="仿宋_GB2312"/>
          <w:sz w:val="32"/>
          <w:szCs w:val="32"/>
        </w:rPr>
        <w:t>单价</w:t>
      </w:r>
      <w:r>
        <w:rPr>
          <w:rFonts w:ascii="仿宋_GB2312" w:eastAsia="仿宋_GB2312"/>
          <w:sz w:val="32"/>
          <w:szCs w:val="32"/>
        </w:rPr>
        <w:t>100</w:t>
      </w:r>
      <w:r>
        <w:rPr>
          <w:rFonts w:hint="eastAsia" w:ascii="仿宋_GB2312" w:eastAsia="仿宋_GB2312"/>
          <w:sz w:val="32"/>
          <w:szCs w:val="32"/>
        </w:rPr>
        <w:t>万元以上专用设备。</w:t>
      </w:r>
    </w:p>
    <w:p w14:paraId="4B017687">
      <w:pPr>
        <w:spacing w:line="600" w:lineRule="exact"/>
        <w:ind w:firstLine="643" w:firstLineChars="200"/>
        <w:outlineLvl w:val="2"/>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（四）预算绩效管理情况</w:t>
      </w:r>
    </w:p>
    <w:p w14:paraId="359D8B03">
      <w:pPr>
        <w:widowControl/>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根据预算绩效管理要求，本部门在</w:t>
      </w:r>
      <w:r>
        <w:rPr>
          <w:rFonts w:hint="eastAsia" w:ascii="仿宋_GB2312" w:hAnsi="仿宋_GB2312" w:eastAsia="仿宋_GB2312" w:cs="仿宋_GB2312"/>
          <w:sz w:val="32"/>
          <w:szCs w:val="32"/>
          <w:highlight w:val="none"/>
          <w:lang w:eastAsia="zh-CN"/>
        </w:rPr>
        <w:t>2023</w:t>
      </w:r>
      <w:r>
        <w:rPr>
          <w:rFonts w:hint="eastAsia" w:ascii="仿宋_GB2312" w:hAnsi="仿宋_GB2312" w:eastAsia="仿宋_GB2312" w:cs="仿宋_GB2312"/>
          <w:sz w:val="32"/>
          <w:szCs w:val="32"/>
          <w:highlight w:val="none"/>
        </w:rPr>
        <w:t>年度预算编制阶段，组织对</w:t>
      </w:r>
      <w:r>
        <w:rPr>
          <w:rFonts w:hint="eastAsia" w:ascii="仿宋_GB2312" w:hAnsi="仿宋_GB2312" w:eastAsia="仿宋_GB2312" w:cs="仿宋_GB2312"/>
          <w:sz w:val="32"/>
          <w:szCs w:val="32"/>
          <w:highlight w:val="none"/>
          <w:lang w:eastAsia="zh-CN"/>
        </w:rPr>
        <w:t>乡村振兴与脱贫攻坚衔接驻村经费、</w:t>
      </w:r>
      <w:r>
        <w:rPr>
          <w:rFonts w:hint="eastAsia" w:ascii="仿宋_GB2312" w:hAnsi="仿宋_GB2312" w:eastAsia="仿宋_GB2312" w:cs="仿宋_GB2312"/>
          <w:sz w:val="32"/>
          <w:szCs w:val="32"/>
          <w:highlight w:val="none"/>
        </w:rPr>
        <w:t>基金管理专项经费等</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个项目开展了预算事前绩效评估，对</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个项目编制了绩效目标，预算执行过程中，</w:t>
      </w:r>
      <w:r>
        <w:rPr>
          <w:rFonts w:hint="eastAsia" w:ascii="仿宋_GB2312" w:hAnsi="仿宋_GB2312" w:eastAsia="仿宋_GB2312" w:cs="仿宋_GB2312"/>
          <w:sz w:val="32"/>
          <w:szCs w:val="32"/>
          <w:highlight w:val="none"/>
          <w:lang w:eastAsia="zh-CN"/>
        </w:rPr>
        <w:t>选取</w:t>
      </w:r>
      <w:r>
        <w:rPr>
          <w:rFonts w:hint="eastAsia" w:ascii="仿宋_GB2312" w:hAnsi="仿宋_GB2312" w:eastAsia="仿宋_GB2312" w:cs="仿宋_GB2312"/>
          <w:sz w:val="32"/>
          <w:szCs w:val="32"/>
          <w:highlight w:val="none"/>
          <w:lang w:val="en-US" w:eastAsia="zh-CN"/>
        </w:rPr>
        <w:t>2个项目开展绩效监控，</w:t>
      </w:r>
      <w:r>
        <w:rPr>
          <w:rFonts w:hint="eastAsia" w:ascii="仿宋_GB2312" w:hAnsi="仿宋_GB2312" w:eastAsia="仿宋_GB2312" w:cs="仿宋_GB2312"/>
          <w:sz w:val="32"/>
          <w:szCs w:val="32"/>
          <w:highlight w:val="none"/>
          <w:lang w:eastAsia="zh-CN"/>
        </w:rPr>
        <w:t>组织对</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个项目开展绩效</w:t>
      </w:r>
      <w:r>
        <w:rPr>
          <w:rFonts w:hint="eastAsia" w:ascii="仿宋_GB2312" w:hAnsi="仿宋_GB2312" w:eastAsia="仿宋_GB2312" w:cs="仿宋_GB2312"/>
          <w:sz w:val="32"/>
          <w:szCs w:val="32"/>
          <w:highlight w:val="none"/>
          <w:lang w:eastAsia="zh-CN"/>
        </w:rPr>
        <w:t>自评，绩效自评表详见第四部分附件</w:t>
      </w:r>
      <w:r>
        <w:rPr>
          <w:rFonts w:hint="eastAsia" w:ascii="仿宋_GB2312" w:hAnsi="仿宋_GB2312" w:eastAsia="仿宋_GB2312" w:cs="仿宋_GB2312"/>
          <w:sz w:val="32"/>
          <w:szCs w:val="32"/>
          <w:highlight w:val="none"/>
        </w:rPr>
        <w:t>。</w:t>
      </w:r>
    </w:p>
    <w:p w14:paraId="47E663A0">
      <w:pPr>
        <w:pStyle w:val="2"/>
        <w:rPr>
          <w:rFonts w:hint="eastAsia" w:ascii="仿宋_GB2312" w:hAnsi="仿宋_GB2312" w:eastAsia="仿宋_GB2312" w:cs="仿宋_GB2312"/>
          <w:sz w:val="32"/>
          <w:szCs w:val="32"/>
          <w:highlight w:val="none"/>
        </w:rPr>
      </w:pPr>
    </w:p>
    <w:p w14:paraId="18C00F9A">
      <w:pPr>
        <w:numPr>
          <w:ilvl w:val="0"/>
          <w:numId w:val="0"/>
        </w:numPr>
        <w:spacing w:line="600" w:lineRule="exact"/>
        <w:jc w:val="center"/>
        <w:outlineLvl w:val="0"/>
        <w:rPr>
          <w:rFonts w:hint="eastAsia" w:ascii="黑体" w:hAnsi="黑体" w:eastAsia="黑体"/>
          <w:sz w:val="44"/>
          <w:szCs w:val="44"/>
          <w:lang w:eastAsia="zh-CN"/>
        </w:rPr>
      </w:pPr>
      <w:bookmarkStart w:id="50" w:name="_Toc15377225"/>
      <w:bookmarkStart w:id="51" w:name="_Toc15396613"/>
    </w:p>
    <w:p w14:paraId="05E85460">
      <w:pPr>
        <w:numPr>
          <w:ilvl w:val="0"/>
          <w:numId w:val="0"/>
        </w:numPr>
        <w:spacing w:line="600" w:lineRule="exact"/>
        <w:jc w:val="center"/>
        <w:outlineLvl w:val="0"/>
        <w:rPr>
          <w:rFonts w:hint="eastAsia" w:ascii="黑体" w:hAnsi="黑体" w:eastAsia="黑体"/>
          <w:sz w:val="44"/>
          <w:szCs w:val="44"/>
          <w:lang w:eastAsia="zh-CN"/>
        </w:rPr>
      </w:pPr>
    </w:p>
    <w:p w14:paraId="4295F62A">
      <w:pPr>
        <w:numPr>
          <w:ilvl w:val="0"/>
          <w:numId w:val="0"/>
        </w:numPr>
        <w:spacing w:line="600" w:lineRule="exact"/>
        <w:jc w:val="center"/>
        <w:outlineLvl w:val="0"/>
        <w:rPr>
          <w:rFonts w:hint="eastAsia" w:ascii="黑体" w:hAnsi="黑体" w:eastAsia="黑体"/>
          <w:sz w:val="44"/>
          <w:szCs w:val="44"/>
          <w:lang w:eastAsia="zh-CN"/>
        </w:rPr>
      </w:pPr>
    </w:p>
    <w:p w14:paraId="697588FA">
      <w:pPr>
        <w:numPr>
          <w:ilvl w:val="0"/>
          <w:numId w:val="0"/>
        </w:numPr>
        <w:spacing w:line="600" w:lineRule="exact"/>
        <w:jc w:val="center"/>
        <w:outlineLvl w:val="0"/>
        <w:rPr>
          <w:rFonts w:hint="eastAsia" w:ascii="黑体" w:hAnsi="黑体" w:eastAsia="黑体"/>
          <w:sz w:val="44"/>
          <w:szCs w:val="44"/>
          <w:lang w:eastAsia="zh-CN"/>
        </w:rPr>
      </w:pPr>
    </w:p>
    <w:p w14:paraId="5DD23477">
      <w:pPr>
        <w:numPr>
          <w:ilvl w:val="0"/>
          <w:numId w:val="0"/>
        </w:numPr>
        <w:spacing w:line="600" w:lineRule="exact"/>
        <w:jc w:val="center"/>
        <w:outlineLvl w:val="0"/>
        <w:rPr>
          <w:rFonts w:hint="eastAsia" w:ascii="黑体" w:hAnsi="黑体" w:eastAsia="黑体"/>
          <w:sz w:val="44"/>
          <w:szCs w:val="44"/>
          <w:lang w:eastAsia="zh-CN"/>
        </w:rPr>
      </w:pPr>
    </w:p>
    <w:p w14:paraId="721B91E4">
      <w:pPr>
        <w:numPr>
          <w:ilvl w:val="0"/>
          <w:numId w:val="0"/>
        </w:numPr>
        <w:spacing w:line="600" w:lineRule="exact"/>
        <w:jc w:val="center"/>
        <w:outlineLvl w:val="0"/>
        <w:rPr>
          <w:rFonts w:hint="eastAsia" w:ascii="黑体" w:hAnsi="黑体" w:eastAsia="黑体"/>
          <w:sz w:val="44"/>
          <w:szCs w:val="44"/>
          <w:lang w:eastAsia="zh-CN"/>
        </w:rPr>
      </w:pPr>
    </w:p>
    <w:p w14:paraId="2FAC4390">
      <w:pPr>
        <w:numPr>
          <w:ilvl w:val="0"/>
          <w:numId w:val="0"/>
        </w:numPr>
        <w:spacing w:line="600" w:lineRule="exact"/>
        <w:jc w:val="center"/>
        <w:outlineLvl w:val="0"/>
        <w:rPr>
          <w:rFonts w:hint="eastAsia" w:ascii="黑体" w:hAnsi="黑体" w:eastAsia="黑体"/>
          <w:sz w:val="44"/>
          <w:szCs w:val="44"/>
          <w:lang w:eastAsia="zh-CN"/>
        </w:rPr>
      </w:pPr>
    </w:p>
    <w:p w14:paraId="44FF02E7">
      <w:pPr>
        <w:numPr>
          <w:ilvl w:val="0"/>
          <w:numId w:val="0"/>
        </w:numPr>
        <w:spacing w:line="600" w:lineRule="exact"/>
        <w:jc w:val="center"/>
        <w:outlineLvl w:val="0"/>
        <w:rPr>
          <w:rFonts w:hint="eastAsia" w:ascii="黑体" w:hAnsi="黑体" w:eastAsia="黑体"/>
          <w:sz w:val="44"/>
          <w:szCs w:val="44"/>
          <w:lang w:eastAsia="zh-CN"/>
        </w:rPr>
      </w:pPr>
    </w:p>
    <w:p w14:paraId="2977D2D7">
      <w:pPr>
        <w:numPr>
          <w:ilvl w:val="0"/>
          <w:numId w:val="0"/>
        </w:numPr>
        <w:spacing w:line="600" w:lineRule="exact"/>
        <w:jc w:val="center"/>
        <w:outlineLvl w:val="0"/>
        <w:rPr>
          <w:rFonts w:hint="eastAsia" w:ascii="黑体" w:hAnsi="黑体" w:eastAsia="黑体"/>
          <w:sz w:val="44"/>
          <w:szCs w:val="44"/>
          <w:lang w:eastAsia="zh-CN"/>
        </w:rPr>
      </w:pPr>
    </w:p>
    <w:p w14:paraId="2D846A08">
      <w:pPr>
        <w:numPr>
          <w:ilvl w:val="0"/>
          <w:numId w:val="0"/>
        </w:numPr>
        <w:spacing w:line="600" w:lineRule="exact"/>
        <w:jc w:val="center"/>
        <w:outlineLvl w:val="0"/>
        <w:rPr>
          <w:rFonts w:hint="eastAsia" w:ascii="黑体" w:hAnsi="黑体" w:eastAsia="黑体"/>
          <w:sz w:val="44"/>
          <w:szCs w:val="44"/>
          <w:lang w:eastAsia="zh-CN"/>
        </w:rPr>
      </w:pPr>
    </w:p>
    <w:p w14:paraId="53E9E6B3">
      <w:pPr>
        <w:keepNext w:val="0"/>
        <w:keepLines w:val="0"/>
        <w:pageBreakBefore w:val="0"/>
        <w:widowControl w:val="0"/>
        <w:numPr>
          <w:ilvl w:val="0"/>
          <w:numId w:val="0"/>
        </w:numPr>
        <w:kinsoku/>
        <w:wordWrap/>
        <w:overflowPunct/>
        <w:topLinePunct w:val="0"/>
        <w:bidi w:val="0"/>
        <w:snapToGrid/>
        <w:spacing w:line="560" w:lineRule="exact"/>
        <w:jc w:val="center"/>
        <w:textAlignment w:val="auto"/>
        <w:outlineLvl w:val="0"/>
        <w:rPr>
          <w:rStyle w:val="28"/>
          <w:rFonts w:ascii="黑体" w:hAnsi="黑体" w:eastAsia="黑体"/>
          <w:b w:val="0"/>
        </w:rPr>
      </w:pPr>
      <w:r>
        <w:rPr>
          <w:rFonts w:hint="eastAsia" w:ascii="黑体" w:hAnsi="黑体" w:eastAsia="黑体"/>
          <w:sz w:val="44"/>
          <w:szCs w:val="44"/>
          <w:lang w:eastAsia="zh-CN"/>
        </w:rPr>
        <w:t>第三部分</w:t>
      </w:r>
      <w:r>
        <w:rPr>
          <w:rFonts w:hint="eastAsia" w:ascii="黑体" w:hAnsi="黑体" w:eastAsia="黑体"/>
          <w:sz w:val="44"/>
          <w:szCs w:val="44"/>
          <w:lang w:val="en-US" w:eastAsia="zh-CN"/>
        </w:rPr>
        <w:t xml:space="preserve"> </w:t>
      </w:r>
      <w:r>
        <w:rPr>
          <w:rFonts w:hint="eastAsia" w:ascii="黑体" w:hAnsi="黑体" w:eastAsia="黑体"/>
          <w:sz w:val="44"/>
          <w:szCs w:val="44"/>
        </w:rPr>
        <w:t>名</w:t>
      </w:r>
      <w:r>
        <w:rPr>
          <w:rStyle w:val="28"/>
          <w:rFonts w:hint="eastAsia" w:ascii="黑体" w:hAnsi="黑体" w:eastAsia="黑体"/>
          <w:b w:val="0"/>
        </w:rPr>
        <w:t>词解释</w:t>
      </w:r>
      <w:bookmarkEnd w:id="50"/>
      <w:bookmarkEnd w:id="51"/>
    </w:p>
    <w:p w14:paraId="2E1715C8">
      <w:pPr>
        <w:keepNext w:val="0"/>
        <w:keepLines w:val="0"/>
        <w:pageBreakBefore w:val="0"/>
        <w:widowControl w:val="0"/>
        <w:kinsoku/>
        <w:wordWrap/>
        <w:overflowPunct/>
        <w:topLinePunct w:val="0"/>
        <w:bidi w:val="0"/>
        <w:snapToGrid/>
        <w:spacing w:line="560" w:lineRule="exact"/>
        <w:jc w:val="left"/>
        <w:textAlignment w:val="auto"/>
        <w:rPr>
          <w:rFonts w:ascii="宋体"/>
          <w:b/>
          <w:sz w:val="44"/>
          <w:szCs w:val="44"/>
        </w:rPr>
      </w:pPr>
    </w:p>
    <w:p w14:paraId="415A3F27">
      <w:pPr>
        <w:pStyle w:val="26"/>
        <w:keepNext w:val="0"/>
        <w:keepLines w:val="0"/>
        <w:pageBreakBefore w:val="0"/>
        <w:widowControl w:val="0"/>
        <w:kinsoku/>
        <w:wordWrap/>
        <w:overflowPunct/>
        <w:topLinePunct w:val="0"/>
        <w:bidi w:val="0"/>
        <w:snapToGrid/>
        <w:spacing w:line="560" w:lineRule="exact"/>
        <w:ind w:firstLine="643" w:firstLineChars="200"/>
        <w:textAlignment w:val="auto"/>
        <w:rPr>
          <w:rFonts w:ascii="仿宋_GB2312" w:eastAsia="仿宋_GB2312"/>
          <w:color w:val="auto"/>
          <w:sz w:val="32"/>
          <w:szCs w:val="32"/>
        </w:rPr>
      </w:pPr>
      <w:r>
        <w:rPr>
          <w:rFonts w:ascii="仿宋_GB2312" w:eastAsia="仿宋_GB2312"/>
          <w:b/>
          <w:bCs/>
          <w:color w:val="auto"/>
          <w:sz w:val="32"/>
          <w:szCs w:val="32"/>
        </w:rPr>
        <w:t>1.</w:t>
      </w:r>
      <w:r>
        <w:rPr>
          <w:rFonts w:hint="eastAsia" w:ascii="仿宋_GB2312" w:eastAsia="仿宋_GB2312"/>
          <w:b/>
          <w:bCs/>
          <w:color w:val="auto"/>
          <w:sz w:val="32"/>
          <w:szCs w:val="32"/>
        </w:rPr>
        <w:t>财政拨款收入：</w:t>
      </w:r>
      <w:r>
        <w:rPr>
          <w:rFonts w:hint="eastAsia" w:ascii="仿宋_GB2312" w:eastAsia="仿宋_GB2312"/>
          <w:color w:val="auto"/>
          <w:sz w:val="32"/>
          <w:szCs w:val="32"/>
        </w:rPr>
        <w:t>指单位从同级财政部门取得的财政预算资金。</w:t>
      </w:r>
    </w:p>
    <w:p w14:paraId="65D553B0">
      <w:pPr>
        <w:pStyle w:val="26"/>
        <w:keepNext w:val="0"/>
        <w:keepLines w:val="0"/>
        <w:pageBreakBefore w:val="0"/>
        <w:widowControl w:val="0"/>
        <w:kinsoku/>
        <w:wordWrap/>
        <w:overflowPunct/>
        <w:topLinePunct w:val="0"/>
        <w:bidi w:val="0"/>
        <w:snapToGrid/>
        <w:spacing w:line="560" w:lineRule="exact"/>
        <w:ind w:firstLine="643" w:firstLineChars="200"/>
        <w:textAlignment w:val="auto"/>
        <w:rPr>
          <w:rFonts w:ascii="仿宋_GB2312" w:eastAsia="仿宋_GB2312"/>
          <w:color w:val="auto"/>
          <w:sz w:val="32"/>
          <w:szCs w:val="32"/>
        </w:rPr>
      </w:pPr>
      <w:r>
        <w:rPr>
          <w:rFonts w:ascii="仿宋_GB2312" w:eastAsia="仿宋_GB2312"/>
          <w:b/>
          <w:bCs/>
          <w:color w:val="auto"/>
          <w:sz w:val="32"/>
          <w:szCs w:val="32"/>
        </w:rPr>
        <w:t>2.</w:t>
      </w:r>
      <w:r>
        <w:rPr>
          <w:rFonts w:hint="eastAsia" w:ascii="仿宋_GB2312" w:eastAsia="仿宋_GB2312"/>
          <w:b/>
          <w:bCs/>
          <w:color w:val="auto"/>
          <w:sz w:val="32"/>
          <w:szCs w:val="32"/>
        </w:rPr>
        <w:t>事业收入：</w:t>
      </w:r>
      <w:r>
        <w:rPr>
          <w:rFonts w:hint="eastAsia" w:ascii="仿宋_GB2312" w:eastAsia="仿宋_GB2312"/>
          <w:color w:val="auto"/>
          <w:sz w:val="32"/>
          <w:szCs w:val="32"/>
        </w:rPr>
        <w:t>指事业单位开展专业业务活动及辅助活动取得的收入。</w:t>
      </w:r>
      <w:r>
        <w:rPr>
          <w:rFonts w:hint="eastAsia" w:ascii="仿宋_GB2312" w:hAnsi="宋体" w:eastAsia="仿宋_GB2312" w:cs="宋体"/>
          <w:color w:val="auto"/>
          <w:sz w:val="32"/>
        </w:rPr>
        <w:t>无此项收入</w:t>
      </w:r>
      <w:r>
        <w:rPr>
          <w:rFonts w:hint="eastAsia" w:ascii="仿宋_GB2312" w:eastAsia="仿宋_GB2312"/>
          <w:color w:val="auto"/>
          <w:sz w:val="32"/>
          <w:szCs w:val="32"/>
        </w:rPr>
        <w:t>。</w:t>
      </w:r>
    </w:p>
    <w:p w14:paraId="6A6BFF3A">
      <w:pPr>
        <w:pStyle w:val="26"/>
        <w:keepNext w:val="0"/>
        <w:keepLines w:val="0"/>
        <w:pageBreakBefore w:val="0"/>
        <w:widowControl w:val="0"/>
        <w:kinsoku/>
        <w:wordWrap/>
        <w:overflowPunct/>
        <w:topLinePunct w:val="0"/>
        <w:bidi w:val="0"/>
        <w:snapToGrid/>
        <w:spacing w:line="560" w:lineRule="exact"/>
        <w:ind w:firstLine="643" w:firstLineChars="200"/>
        <w:textAlignment w:val="auto"/>
        <w:rPr>
          <w:rFonts w:ascii="仿宋_GB2312" w:eastAsia="仿宋_GB2312"/>
          <w:color w:val="auto"/>
          <w:sz w:val="32"/>
          <w:szCs w:val="32"/>
        </w:rPr>
      </w:pPr>
      <w:r>
        <w:rPr>
          <w:rFonts w:ascii="仿宋_GB2312" w:eastAsia="仿宋_GB2312"/>
          <w:b/>
          <w:bCs/>
          <w:color w:val="auto"/>
          <w:sz w:val="32"/>
          <w:szCs w:val="32"/>
        </w:rPr>
        <w:t>3.</w:t>
      </w:r>
      <w:r>
        <w:rPr>
          <w:rFonts w:hint="eastAsia" w:ascii="仿宋_GB2312" w:eastAsia="仿宋_GB2312"/>
          <w:b/>
          <w:bCs/>
          <w:color w:val="auto"/>
          <w:sz w:val="32"/>
          <w:szCs w:val="32"/>
        </w:rPr>
        <w:t>经营收入：</w:t>
      </w:r>
      <w:r>
        <w:rPr>
          <w:rFonts w:hint="eastAsia" w:ascii="仿宋_GB2312" w:eastAsia="仿宋_GB2312"/>
          <w:color w:val="auto"/>
          <w:sz w:val="32"/>
          <w:szCs w:val="32"/>
        </w:rPr>
        <w:t>指事业单位在专业业务活动及其辅助活动之外开展非独立核算经营活动取得的收入。</w:t>
      </w:r>
      <w:r>
        <w:rPr>
          <w:rFonts w:hint="eastAsia" w:ascii="仿宋_GB2312" w:hAnsi="宋体" w:eastAsia="仿宋_GB2312" w:cs="宋体"/>
          <w:color w:val="auto"/>
          <w:sz w:val="32"/>
        </w:rPr>
        <w:t>无此项收入。</w:t>
      </w:r>
    </w:p>
    <w:p w14:paraId="52AC396B">
      <w:pPr>
        <w:pStyle w:val="26"/>
        <w:keepNext w:val="0"/>
        <w:keepLines w:val="0"/>
        <w:pageBreakBefore w:val="0"/>
        <w:widowControl w:val="0"/>
        <w:kinsoku/>
        <w:wordWrap/>
        <w:overflowPunct/>
        <w:topLinePunct w:val="0"/>
        <w:bidi w:val="0"/>
        <w:snapToGrid/>
        <w:spacing w:line="560" w:lineRule="exact"/>
        <w:ind w:firstLine="643" w:firstLineChars="200"/>
        <w:textAlignment w:val="auto"/>
        <w:rPr>
          <w:rFonts w:ascii="仿宋_GB2312" w:hAnsi="宋体" w:eastAsia="仿宋_GB2312" w:cs="宋体"/>
          <w:color w:val="auto"/>
          <w:sz w:val="32"/>
        </w:rPr>
      </w:pPr>
      <w:r>
        <w:rPr>
          <w:rFonts w:ascii="仿宋_GB2312" w:eastAsia="仿宋_GB2312"/>
          <w:b/>
          <w:bCs/>
          <w:color w:val="auto"/>
          <w:sz w:val="32"/>
          <w:szCs w:val="32"/>
        </w:rPr>
        <w:t>4.</w:t>
      </w:r>
      <w:r>
        <w:rPr>
          <w:rFonts w:hint="eastAsia" w:ascii="仿宋_GB2312" w:eastAsia="仿宋_GB2312"/>
          <w:b/>
          <w:bCs/>
          <w:color w:val="auto"/>
          <w:sz w:val="32"/>
          <w:szCs w:val="32"/>
        </w:rPr>
        <w:t>其他收入：</w:t>
      </w:r>
      <w:r>
        <w:rPr>
          <w:rFonts w:hint="eastAsia" w:ascii="仿宋_GB2312" w:eastAsia="仿宋_GB2312"/>
          <w:color w:val="auto"/>
          <w:sz w:val="32"/>
          <w:szCs w:val="32"/>
        </w:rPr>
        <w:t>指单位取得的除上述收入以外的各项收入。</w:t>
      </w:r>
      <w:r>
        <w:rPr>
          <w:rFonts w:hint="eastAsia" w:ascii="仿宋_GB2312" w:hAnsi="宋体" w:eastAsia="仿宋_GB2312" w:cs="宋体"/>
          <w:color w:val="auto"/>
          <w:sz w:val="32"/>
        </w:rPr>
        <w:t>无此项收入。</w:t>
      </w:r>
    </w:p>
    <w:p w14:paraId="5CA10ABC">
      <w:pPr>
        <w:pStyle w:val="26"/>
        <w:keepNext w:val="0"/>
        <w:keepLines w:val="0"/>
        <w:pageBreakBefore w:val="0"/>
        <w:widowControl w:val="0"/>
        <w:kinsoku/>
        <w:wordWrap/>
        <w:overflowPunct/>
        <w:topLinePunct w:val="0"/>
        <w:bidi w:val="0"/>
        <w:snapToGrid/>
        <w:spacing w:line="560" w:lineRule="exact"/>
        <w:ind w:firstLine="643" w:firstLineChars="200"/>
        <w:textAlignment w:val="auto"/>
        <w:rPr>
          <w:rFonts w:ascii="仿宋_GB2312" w:eastAsia="仿宋_GB2312"/>
          <w:color w:val="auto"/>
          <w:sz w:val="32"/>
          <w:szCs w:val="32"/>
        </w:rPr>
      </w:pPr>
      <w:r>
        <w:rPr>
          <w:rFonts w:ascii="仿宋_GB2312" w:eastAsia="仿宋_GB2312"/>
          <w:b/>
          <w:bCs/>
          <w:color w:val="auto"/>
          <w:sz w:val="32"/>
          <w:szCs w:val="32"/>
        </w:rPr>
        <w:t>5.</w:t>
      </w:r>
      <w:r>
        <w:rPr>
          <w:rFonts w:hint="eastAsia" w:ascii="仿宋_GB2312" w:eastAsia="仿宋_GB2312"/>
          <w:b/>
          <w:bCs/>
          <w:color w:val="auto"/>
          <w:sz w:val="32"/>
          <w:szCs w:val="32"/>
        </w:rPr>
        <w:t>使用非财政拨款结余：</w:t>
      </w:r>
      <w:r>
        <w:rPr>
          <w:rFonts w:hint="eastAsia" w:ascii="仿宋_GB2312" w:eastAsia="仿宋_GB2312"/>
          <w:color w:val="auto"/>
          <w:sz w:val="32"/>
          <w:szCs w:val="32"/>
        </w:rPr>
        <w:t>指事业单位使用以前年度积累的非财政拨款结余弥补当年收支差额的金额。</w:t>
      </w:r>
    </w:p>
    <w:p w14:paraId="09336728">
      <w:pPr>
        <w:pStyle w:val="26"/>
        <w:keepNext w:val="0"/>
        <w:keepLines w:val="0"/>
        <w:pageBreakBefore w:val="0"/>
        <w:widowControl w:val="0"/>
        <w:kinsoku/>
        <w:wordWrap/>
        <w:overflowPunct/>
        <w:topLinePunct w:val="0"/>
        <w:bidi w:val="0"/>
        <w:snapToGrid/>
        <w:spacing w:line="560" w:lineRule="exact"/>
        <w:ind w:firstLine="643" w:firstLineChars="200"/>
        <w:textAlignment w:val="auto"/>
        <w:rPr>
          <w:rFonts w:ascii="仿宋_GB2312" w:eastAsia="仿宋_GB2312"/>
          <w:color w:val="auto"/>
          <w:sz w:val="32"/>
          <w:szCs w:val="32"/>
        </w:rPr>
      </w:pPr>
      <w:r>
        <w:rPr>
          <w:rFonts w:ascii="仿宋_GB2312" w:eastAsia="仿宋_GB2312"/>
          <w:b/>
          <w:bCs/>
          <w:color w:val="auto"/>
          <w:sz w:val="32"/>
          <w:szCs w:val="32"/>
        </w:rPr>
        <w:t>6.</w:t>
      </w:r>
      <w:r>
        <w:rPr>
          <w:rFonts w:hint="eastAsia" w:ascii="仿宋_GB2312" w:eastAsia="仿宋_GB2312"/>
          <w:b/>
          <w:bCs/>
          <w:color w:val="auto"/>
          <w:sz w:val="32"/>
          <w:szCs w:val="32"/>
        </w:rPr>
        <w:t>年初结转和结余：</w:t>
      </w:r>
      <w:r>
        <w:rPr>
          <w:rFonts w:hint="eastAsia" w:ascii="仿宋_GB2312" w:eastAsia="仿宋_GB2312"/>
          <w:color w:val="auto"/>
          <w:sz w:val="32"/>
          <w:szCs w:val="32"/>
        </w:rPr>
        <w:t>指以前年度尚未完成、结转到本年按有关规定继续使用的资金。</w:t>
      </w:r>
      <w:r>
        <w:rPr>
          <w:rFonts w:ascii="仿宋_GB2312" w:eastAsia="仿宋_GB2312"/>
          <w:color w:val="auto"/>
          <w:sz w:val="32"/>
          <w:szCs w:val="32"/>
        </w:rPr>
        <w:t xml:space="preserve"> </w:t>
      </w:r>
    </w:p>
    <w:p w14:paraId="011CD0B3">
      <w:pPr>
        <w:pStyle w:val="26"/>
        <w:keepNext w:val="0"/>
        <w:keepLines w:val="0"/>
        <w:pageBreakBefore w:val="0"/>
        <w:widowControl w:val="0"/>
        <w:kinsoku/>
        <w:wordWrap/>
        <w:overflowPunct/>
        <w:topLinePunct w:val="0"/>
        <w:bidi w:val="0"/>
        <w:snapToGrid/>
        <w:spacing w:line="560" w:lineRule="exact"/>
        <w:ind w:firstLine="643" w:firstLineChars="200"/>
        <w:textAlignment w:val="auto"/>
        <w:rPr>
          <w:rFonts w:ascii="仿宋_GB2312" w:eastAsia="仿宋_GB2312"/>
          <w:color w:val="auto"/>
          <w:sz w:val="32"/>
          <w:szCs w:val="32"/>
        </w:rPr>
      </w:pPr>
      <w:r>
        <w:rPr>
          <w:rFonts w:ascii="仿宋_GB2312" w:eastAsia="仿宋_GB2312"/>
          <w:b/>
          <w:bCs/>
          <w:color w:val="auto"/>
          <w:sz w:val="32"/>
          <w:szCs w:val="32"/>
        </w:rPr>
        <w:t>7.</w:t>
      </w:r>
      <w:r>
        <w:rPr>
          <w:rFonts w:hint="eastAsia" w:ascii="仿宋_GB2312" w:eastAsia="仿宋_GB2312"/>
          <w:b/>
          <w:bCs/>
          <w:color w:val="auto"/>
          <w:sz w:val="32"/>
          <w:szCs w:val="32"/>
        </w:rPr>
        <w:t>结余分配：</w:t>
      </w:r>
      <w:r>
        <w:rPr>
          <w:rFonts w:hint="eastAsia" w:ascii="仿宋_GB2312" w:eastAsia="仿宋_GB2312"/>
          <w:color w:val="auto"/>
          <w:sz w:val="32"/>
          <w:szCs w:val="32"/>
        </w:rPr>
        <w:t>指事业单位按照会计制度规定缴纳的所得税、提取的专用结余以及转入非财政拨款结余的金额等。</w:t>
      </w:r>
    </w:p>
    <w:p w14:paraId="7F060899">
      <w:pPr>
        <w:pStyle w:val="26"/>
        <w:keepNext w:val="0"/>
        <w:keepLines w:val="0"/>
        <w:pageBreakBefore w:val="0"/>
        <w:widowControl w:val="0"/>
        <w:kinsoku/>
        <w:wordWrap/>
        <w:overflowPunct/>
        <w:topLinePunct w:val="0"/>
        <w:bidi w:val="0"/>
        <w:snapToGrid/>
        <w:spacing w:line="560" w:lineRule="exact"/>
        <w:ind w:firstLine="643" w:firstLineChars="200"/>
        <w:textAlignment w:val="auto"/>
        <w:rPr>
          <w:rFonts w:ascii="仿宋_GB2312" w:eastAsia="仿宋_GB2312"/>
          <w:color w:val="auto"/>
          <w:sz w:val="32"/>
          <w:szCs w:val="32"/>
        </w:rPr>
      </w:pPr>
      <w:r>
        <w:rPr>
          <w:rFonts w:ascii="仿宋_GB2312" w:eastAsia="仿宋_GB2312"/>
          <w:b/>
          <w:bCs/>
          <w:color w:val="auto"/>
          <w:sz w:val="32"/>
          <w:szCs w:val="32"/>
        </w:rPr>
        <w:t>8</w:t>
      </w:r>
      <w:r>
        <w:rPr>
          <w:rFonts w:hint="eastAsia" w:ascii="仿宋_GB2312" w:eastAsia="仿宋_GB2312"/>
          <w:b/>
          <w:bCs/>
          <w:color w:val="auto"/>
          <w:sz w:val="32"/>
          <w:szCs w:val="32"/>
        </w:rPr>
        <w:t>.年末结转和结余：</w:t>
      </w:r>
      <w:r>
        <w:rPr>
          <w:rFonts w:hint="eastAsia" w:ascii="仿宋_GB2312" w:eastAsia="仿宋_GB2312"/>
          <w:color w:val="auto"/>
          <w:sz w:val="32"/>
          <w:szCs w:val="32"/>
        </w:rPr>
        <w:t>指单位按有关规定结转到下年或以后年度继续使用的资金。</w:t>
      </w:r>
    </w:p>
    <w:p w14:paraId="1335A18D">
      <w:pPr>
        <w:keepNext w:val="0"/>
        <w:keepLines w:val="0"/>
        <w:pageBreakBefore w:val="0"/>
        <w:widowControl w:val="0"/>
        <w:kinsoku/>
        <w:wordWrap/>
        <w:overflowPunct/>
        <w:topLinePunct w:val="0"/>
        <w:bidi w:val="0"/>
        <w:snapToGrid/>
        <w:spacing w:line="560" w:lineRule="exact"/>
        <w:ind w:firstLine="643" w:firstLineChars="200"/>
        <w:textAlignment w:val="auto"/>
        <w:rPr>
          <w:rFonts w:hint="default" w:eastAsia="仿宋_GB2312"/>
          <w:lang w:val="en-US" w:eastAsia="zh-CN"/>
        </w:rPr>
      </w:pPr>
      <w:r>
        <w:rPr>
          <w:rFonts w:hint="eastAsia" w:ascii="仿宋_GB2312" w:hAnsi="Calibri" w:eastAsia="仿宋_GB2312" w:cs="仿宋"/>
          <w:b/>
          <w:bCs/>
          <w:color w:val="auto"/>
          <w:kern w:val="0"/>
          <w:sz w:val="32"/>
          <w:szCs w:val="32"/>
          <w:lang w:val="en-US" w:eastAsia="zh-CN" w:bidi="ar-SA"/>
        </w:rPr>
        <w:t>9</w:t>
      </w:r>
      <w:r>
        <w:rPr>
          <w:rFonts w:ascii="仿宋_GB2312" w:hAnsi="Calibri" w:eastAsia="仿宋_GB2312" w:cs="仿宋"/>
          <w:b/>
          <w:bCs/>
          <w:color w:val="auto"/>
          <w:kern w:val="0"/>
          <w:sz w:val="32"/>
          <w:szCs w:val="32"/>
          <w:lang w:val="en-US" w:eastAsia="zh-CN" w:bidi="ar-SA"/>
        </w:rPr>
        <w:t>.</w:t>
      </w:r>
      <w:r>
        <w:rPr>
          <w:rFonts w:hint="eastAsia" w:ascii="仿宋_GB2312" w:hAnsi="Calibri" w:eastAsia="仿宋_GB2312" w:cs="仿宋"/>
          <w:b/>
          <w:bCs/>
          <w:color w:val="auto"/>
          <w:kern w:val="0"/>
          <w:sz w:val="32"/>
          <w:szCs w:val="32"/>
          <w:lang w:val="en-US" w:eastAsia="zh-CN" w:bidi="ar-SA"/>
        </w:rPr>
        <w:t>社会保障和就业（类）行政事业单位养老支出（款）行政单位离退休支出（项）：</w:t>
      </w:r>
      <w:r>
        <w:rPr>
          <w:rFonts w:hint="eastAsia" w:ascii="仿宋_GB2312" w:eastAsia="仿宋_GB2312"/>
          <w:sz w:val="32"/>
          <w:szCs w:val="32"/>
        </w:rPr>
        <w:t>指</w:t>
      </w:r>
      <w:r>
        <w:rPr>
          <w:rFonts w:hint="eastAsia" w:ascii="仿宋_GB2312" w:eastAsia="仿宋_GB2312"/>
          <w:sz w:val="32"/>
          <w:szCs w:val="32"/>
          <w:lang w:eastAsia="zh-CN"/>
        </w:rPr>
        <w:t>本单位用于离退休人员的费用</w:t>
      </w:r>
      <w:r>
        <w:rPr>
          <w:rFonts w:hint="eastAsia" w:ascii="仿宋_GB2312" w:eastAsia="仿宋_GB2312"/>
          <w:sz w:val="32"/>
          <w:szCs w:val="32"/>
        </w:rPr>
        <w:t>支出。</w:t>
      </w:r>
    </w:p>
    <w:p w14:paraId="7195742C">
      <w:pPr>
        <w:keepNext w:val="0"/>
        <w:keepLines w:val="0"/>
        <w:pageBreakBefore w:val="0"/>
        <w:widowControl w:val="0"/>
        <w:kinsoku/>
        <w:wordWrap/>
        <w:overflowPunct/>
        <w:topLinePunct w:val="0"/>
        <w:bidi w:val="0"/>
        <w:snapToGrid/>
        <w:spacing w:line="560" w:lineRule="exact"/>
        <w:ind w:firstLine="643" w:firstLineChars="200"/>
        <w:textAlignment w:val="auto"/>
        <w:rPr>
          <w:rFonts w:hint="eastAsia" w:ascii="仿宋_GB2312" w:eastAsia="仿宋_GB2312"/>
          <w:sz w:val="32"/>
          <w:szCs w:val="32"/>
        </w:rPr>
      </w:pPr>
      <w:r>
        <w:rPr>
          <w:rFonts w:hint="eastAsia" w:ascii="仿宋_GB2312" w:hAnsi="Calibri" w:eastAsia="仿宋_GB2312" w:cs="仿宋"/>
          <w:b/>
          <w:bCs/>
          <w:color w:val="auto"/>
          <w:kern w:val="0"/>
          <w:sz w:val="32"/>
          <w:szCs w:val="32"/>
          <w:lang w:val="en-US" w:eastAsia="zh-CN" w:bidi="ar-SA"/>
        </w:rPr>
        <w:t>10</w:t>
      </w:r>
      <w:r>
        <w:rPr>
          <w:rFonts w:ascii="仿宋_GB2312" w:hAnsi="Calibri" w:eastAsia="仿宋_GB2312" w:cs="仿宋"/>
          <w:b/>
          <w:bCs/>
          <w:color w:val="auto"/>
          <w:kern w:val="0"/>
          <w:sz w:val="32"/>
          <w:szCs w:val="32"/>
          <w:lang w:val="en-US" w:eastAsia="zh-CN" w:bidi="ar-SA"/>
        </w:rPr>
        <w:t>.</w:t>
      </w:r>
      <w:r>
        <w:rPr>
          <w:rFonts w:hint="eastAsia" w:ascii="仿宋_GB2312" w:hAnsi="Calibri" w:eastAsia="仿宋_GB2312" w:cs="仿宋"/>
          <w:b/>
          <w:bCs/>
          <w:color w:val="auto"/>
          <w:kern w:val="0"/>
          <w:sz w:val="32"/>
          <w:szCs w:val="32"/>
          <w:lang w:val="en-US" w:eastAsia="zh-CN" w:bidi="ar-SA"/>
        </w:rPr>
        <w:t>卫生健康（类）公共卫生（款）重大公共卫生服务（项）：</w:t>
      </w:r>
      <w:r>
        <w:rPr>
          <w:rFonts w:hint="eastAsia" w:ascii="仿宋_GB2312" w:eastAsia="仿宋_GB2312"/>
          <w:sz w:val="32"/>
          <w:szCs w:val="32"/>
          <w:lang w:eastAsia="zh-CN"/>
        </w:rPr>
        <w:t>指用于新冠患者的救治资金支出</w:t>
      </w:r>
      <w:r>
        <w:rPr>
          <w:rFonts w:hint="eastAsia" w:ascii="仿宋_GB2312" w:eastAsia="仿宋_GB2312"/>
          <w:sz w:val="32"/>
          <w:szCs w:val="32"/>
        </w:rPr>
        <w:t>。</w:t>
      </w:r>
    </w:p>
    <w:p w14:paraId="7E2C8F0A">
      <w:pPr>
        <w:pStyle w:val="2"/>
        <w:keepNext w:val="0"/>
        <w:keepLines w:val="0"/>
        <w:pageBreakBefore w:val="0"/>
        <w:widowControl w:val="0"/>
        <w:kinsoku/>
        <w:wordWrap/>
        <w:overflowPunct/>
        <w:topLinePunct w:val="0"/>
        <w:bidi w:val="0"/>
        <w:snapToGrid/>
        <w:spacing w:line="560" w:lineRule="exact"/>
        <w:ind w:firstLine="643" w:firstLineChars="200"/>
        <w:textAlignment w:val="auto"/>
      </w:pPr>
      <w:r>
        <w:rPr>
          <w:rFonts w:hint="eastAsia" w:ascii="仿宋_GB2312" w:hAnsi="Calibri" w:eastAsia="仿宋_GB2312" w:cs="仿宋"/>
          <w:b/>
          <w:bCs/>
          <w:color w:val="auto"/>
          <w:kern w:val="0"/>
          <w:sz w:val="32"/>
          <w:szCs w:val="32"/>
          <w:lang w:val="en-US" w:eastAsia="zh-CN" w:bidi="ar-SA"/>
        </w:rPr>
        <w:t>11</w:t>
      </w:r>
      <w:r>
        <w:rPr>
          <w:rFonts w:ascii="仿宋_GB2312" w:hAnsi="Calibri" w:eastAsia="仿宋_GB2312" w:cs="仿宋"/>
          <w:b/>
          <w:bCs/>
          <w:color w:val="auto"/>
          <w:kern w:val="0"/>
          <w:sz w:val="32"/>
          <w:szCs w:val="32"/>
          <w:lang w:val="en-US" w:eastAsia="zh-CN" w:bidi="ar-SA"/>
        </w:rPr>
        <w:t>.</w:t>
      </w:r>
      <w:r>
        <w:rPr>
          <w:rFonts w:hint="eastAsia" w:ascii="仿宋_GB2312" w:hAnsi="Calibri" w:eastAsia="仿宋_GB2312" w:cs="仿宋"/>
          <w:b/>
          <w:bCs/>
          <w:color w:val="auto"/>
          <w:kern w:val="0"/>
          <w:sz w:val="32"/>
          <w:szCs w:val="32"/>
          <w:lang w:val="en-US" w:eastAsia="zh-CN" w:bidi="ar-SA"/>
        </w:rPr>
        <w:t>卫生健康（类）医疗保障管理事务（款）行政运行（项）：</w:t>
      </w:r>
      <w:r>
        <w:rPr>
          <w:rFonts w:hint="eastAsia" w:ascii="仿宋_GB2312" w:eastAsia="仿宋_GB2312"/>
          <w:sz w:val="32"/>
          <w:szCs w:val="32"/>
        </w:rPr>
        <w:t>指</w:t>
      </w:r>
      <w:r>
        <w:rPr>
          <w:rFonts w:hint="eastAsia"/>
          <w:sz w:val="32"/>
          <w:szCs w:val="32"/>
          <w:lang w:eastAsia="zh-CN"/>
        </w:rPr>
        <w:t>支付职工基本工资、津贴补贴、奖金、住房公积金、日常公用经费等支出</w:t>
      </w:r>
    </w:p>
    <w:p w14:paraId="7014CCD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eastAsia="仿宋_GB2312"/>
          <w:sz w:val="32"/>
          <w:szCs w:val="32"/>
        </w:rPr>
      </w:pPr>
      <w:r>
        <w:rPr>
          <w:rFonts w:hint="eastAsia" w:ascii="仿宋_GB2312" w:hAnsi="Calibri" w:eastAsia="仿宋_GB2312" w:cs="仿宋"/>
          <w:b/>
          <w:bCs/>
          <w:color w:val="auto"/>
          <w:kern w:val="0"/>
          <w:sz w:val="32"/>
          <w:szCs w:val="32"/>
          <w:lang w:val="en-US" w:eastAsia="zh-CN" w:bidi="ar-SA"/>
        </w:rPr>
        <w:t>12</w:t>
      </w:r>
      <w:r>
        <w:rPr>
          <w:rFonts w:ascii="仿宋_GB2312" w:hAnsi="Calibri" w:eastAsia="仿宋_GB2312" w:cs="仿宋"/>
          <w:b/>
          <w:bCs/>
          <w:color w:val="auto"/>
          <w:kern w:val="0"/>
          <w:sz w:val="32"/>
          <w:szCs w:val="32"/>
          <w:lang w:val="en-US" w:eastAsia="zh-CN" w:bidi="ar-SA"/>
        </w:rPr>
        <w:t>.</w:t>
      </w:r>
      <w:r>
        <w:rPr>
          <w:rFonts w:hint="eastAsia" w:ascii="仿宋_GB2312" w:hAnsi="Calibri" w:eastAsia="仿宋_GB2312" w:cs="仿宋"/>
          <w:b/>
          <w:bCs/>
          <w:color w:val="auto"/>
          <w:kern w:val="0"/>
          <w:sz w:val="32"/>
          <w:szCs w:val="32"/>
          <w:lang w:val="en-US" w:eastAsia="zh-CN" w:bidi="ar-SA"/>
        </w:rPr>
        <w:t>卫生健康（类）医疗保障管理事务（款）一般行政管理事务（项）：</w:t>
      </w:r>
      <w:r>
        <w:rPr>
          <w:rFonts w:hint="eastAsia" w:ascii="仿宋_GB2312" w:eastAsia="仿宋_GB2312"/>
          <w:sz w:val="32"/>
          <w:szCs w:val="32"/>
        </w:rPr>
        <w:t>指医疗保障管理事务的其他项目支出。</w:t>
      </w:r>
    </w:p>
    <w:p w14:paraId="0140D9C1">
      <w:pPr>
        <w:pStyle w:val="2"/>
        <w:keepNext w:val="0"/>
        <w:keepLines w:val="0"/>
        <w:pageBreakBefore w:val="0"/>
        <w:widowControl w:val="0"/>
        <w:kinsoku/>
        <w:wordWrap/>
        <w:overflowPunct/>
        <w:topLinePunct w:val="0"/>
        <w:autoSpaceDE/>
        <w:autoSpaceDN/>
        <w:bidi w:val="0"/>
        <w:adjustRightInd/>
        <w:snapToGrid/>
        <w:spacing w:before="93" w:line="560" w:lineRule="exact"/>
        <w:textAlignment w:val="auto"/>
        <w:rPr>
          <w:rFonts w:hint="eastAsia" w:ascii="仿宋_GB2312" w:hAnsi="Calibri" w:eastAsia="仿宋_GB2312" w:cs="仿宋"/>
          <w:b/>
          <w:bCs/>
          <w:color w:val="auto"/>
          <w:kern w:val="0"/>
          <w:sz w:val="32"/>
          <w:szCs w:val="32"/>
          <w:lang w:val="en-US" w:eastAsia="zh-CN" w:bidi="ar-SA"/>
        </w:rPr>
      </w:pPr>
      <w:r>
        <w:rPr>
          <w:rFonts w:hint="eastAsia"/>
          <w:sz w:val="32"/>
          <w:szCs w:val="32"/>
        </w:rPr>
        <w:t xml:space="preserve">  </w:t>
      </w:r>
      <w:r>
        <w:rPr>
          <w:rFonts w:hint="eastAsia"/>
          <w:sz w:val="32"/>
          <w:szCs w:val="32"/>
          <w:lang w:val="en-US" w:eastAsia="zh-CN"/>
        </w:rPr>
        <w:t xml:space="preserve"> </w:t>
      </w:r>
      <w:r>
        <w:rPr>
          <w:rFonts w:hint="eastAsia"/>
          <w:sz w:val="32"/>
          <w:szCs w:val="32"/>
        </w:rPr>
        <w:t xml:space="preserve"> </w:t>
      </w:r>
      <w:r>
        <w:rPr>
          <w:rFonts w:hint="eastAsia" w:ascii="仿宋_GB2312" w:hAnsi="Calibri" w:eastAsia="仿宋_GB2312" w:cs="仿宋"/>
          <w:b/>
          <w:bCs/>
          <w:color w:val="auto"/>
          <w:kern w:val="0"/>
          <w:sz w:val="32"/>
          <w:szCs w:val="32"/>
          <w:lang w:val="en-US" w:eastAsia="zh-CN" w:bidi="ar-SA"/>
        </w:rPr>
        <w:t>13</w:t>
      </w:r>
      <w:r>
        <w:rPr>
          <w:rFonts w:ascii="仿宋_GB2312" w:hAnsi="Calibri" w:eastAsia="仿宋_GB2312" w:cs="仿宋"/>
          <w:b/>
          <w:bCs/>
          <w:color w:val="auto"/>
          <w:kern w:val="0"/>
          <w:sz w:val="32"/>
          <w:szCs w:val="32"/>
          <w:lang w:val="en-US" w:eastAsia="zh-CN" w:bidi="ar-SA"/>
        </w:rPr>
        <w:t>.</w:t>
      </w:r>
      <w:r>
        <w:rPr>
          <w:rFonts w:hint="eastAsia" w:ascii="仿宋_GB2312" w:hAnsi="Calibri" w:eastAsia="仿宋_GB2312" w:cs="仿宋"/>
          <w:b/>
          <w:bCs/>
          <w:color w:val="auto"/>
          <w:kern w:val="0"/>
          <w:sz w:val="32"/>
          <w:szCs w:val="32"/>
          <w:lang w:val="en-US" w:eastAsia="zh-CN" w:bidi="ar-SA"/>
        </w:rPr>
        <w:t>卫生健康（类）医疗保障管理事务（款）-其他医疗保障管理事务支出（项）：</w:t>
      </w:r>
      <w:r>
        <w:rPr>
          <w:rFonts w:hint="eastAsia"/>
          <w:sz w:val="32"/>
          <w:szCs w:val="32"/>
        </w:rPr>
        <w:t>指其他用于医疗保障管理事务方面的支出。</w:t>
      </w:r>
    </w:p>
    <w:p w14:paraId="5C5E9F25">
      <w:pPr>
        <w:keepNext w:val="0"/>
        <w:keepLines w:val="0"/>
        <w:pageBreakBefore w:val="0"/>
        <w:widowControl w:val="0"/>
        <w:kinsoku/>
        <w:wordWrap/>
        <w:overflowPunct/>
        <w:topLinePunct w:val="0"/>
        <w:bidi w:val="0"/>
        <w:snapToGrid/>
        <w:spacing w:line="560" w:lineRule="exact"/>
        <w:ind w:firstLine="643" w:firstLineChars="200"/>
        <w:textAlignment w:val="auto"/>
        <w:rPr>
          <w:rFonts w:hint="default" w:ascii="仿宋_GB2312" w:hAnsi="Times New Roman" w:eastAsia="仿宋_GB2312" w:cs="Times New Roman"/>
          <w:kern w:val="0"/>
          <w:sz w:val="32"/>
          <w:szCs w:val="32"/>
          <w:lang w:val="en-US" w:eastAsia="zh-CN" w:bidi="ar-SA"/>
        </w:rPr>
      </w:pPr>
      <w:r>
        <w:rPr>
          <w:rFonts w:hint="default" w:ascii="仿宋_GB2312" w:hAnsi="Calibri" w:eastAsia="仿宋_GB2312" w:cs="仿宋"/>
          <w:b/>
          <w:bCs/>
          <w:color w:val="auto"/>
          <w:kern w:val="0"/>
          <w:sz w:val="32"/>
          <w:szCs w:val="32"/>
          <w:lang w:val="en-US" w:eastAsia="zh-CN" w:bidi="ar-SA"/>
        </w:rPr>
        <w:t>1</w:t>
      </w:r>
      <w:r>
        <w:rPr>
          <w:rFonts w:hint="eastAsia" w:ascii="仿宋_GB2312" w:hAnsi="Calibri" w:eastAsia="仿宋_GB2312" w:cs="仿宋"/>
          <w:b/>
          <w:bCs/>
          <w:color w:val="auto"/>
          <w:kern w:val="0"/>
          <w:sz w:val="32"/>
          <w:szCs w:val="32"/>
          <w:lang w:val="en-US" w:eastAsia="zh-CN" w:bidi="ar-SA"/>
        </w:rPr>
        <w:t>4</w:t>
      </w:r>
      <w:r>
        <w:rPr>
          <w:rFonts w:hint="default" w:ascii="仿宋_GB2312" w:hAnsi="Calibri" w:eastAsia="仿宋_GB2312" w:cs="仿宋"/>
          <w:b/>
          <w:bCs/>
          <w:color w:val="auto"/>
          <w:kern w:val="0"/>
          <w:sz w:val="32"/>
          <w:szCs w:val="32"/>
          <w:lang w:val="en-US" w:eastAsia="zh-CN" w:bidi="ar-SA"/>
        </w:rPr>
        <w:t>.农林水支出（类）巩固脱贫攻坚成果衔接乡村振兴（款）其他巩固脱贫攻坚成果衔接乡村振兴支出（项）:</w:t>
      </w:r>
      <w:r>
        <w:rPr>
          <w:rFonts w:hint="default" w:ascii="仿宋_GB2312" w:hAnsi="Times New Roman" w:eastAsia="仿宋_GB2312" w:cs="Times New Roman"/>
          <w:kern w:val="0"/>
          <w:sz w:val="32"/>
          <w:szCs w:val="32"/>
          <w:lang w:val="en-US" w:eastAsia="zh-CN" w:bidi="ar-SA"/>
        </w:rPr>
        <w:t>指用于巩固拓展脱贫攻坚成果同乡村振兴有效衔接方面的支出。</w:t>
      </w:r>
    </w:p>
    <w:p w14:paraId="6CAF7F30">
      <w:pPr>
        <w:keepNext w:val="0"/>
        <w:keepLines w:val="0"/>
        <w:pageBreakBefore w:val="0"/>
        <w:widowControl w:val="0"/>
        <w:kinsoku/>
        <w:wordWrap/>
        <w:overflowPunct/>
        <w:topLinePunct w:val="0"/>
        <w:bidi w:val="0"/>
        <w:snapToGrid/>
        <w:spacing w:line="560" w:lineRule="exact"/>
        <w:ind w:firstLine="643" w:firstLineChars="200"/>
        <w:textAlignment w:val="auto"/>
        <w:rPr>
          <w:rFonts w:ascii="仿宋_GB2312" w:eastAsia="仿宋_GB2312"/>
          <w:sz w:val="32"/>
          <w:szCs w:val="32"/>
        </w:rPr>
      </w:pPr>
      <w:r>
        <w:rPr>
          <w:rFonts w:hint="eastAsia" w:ascii="仿宋_GB2312" w:hAnsi="Calibri" w:eastAsia="仿宋_GB2312" w:cs="仿宋"/>
          <w:b/>
          <w:bCs/>
          <w:color w:val="auto"/>
          <w:kern w:val="0"/>
          <w:sz w:val="32"/>
          <w:szCs w:val="32"/>
          <w:lang w:val="en-US" w:eastAsia="zh-CN" w:bidi="ar-SA"/>
        </w:rPr>
        <w:t>15</w:t>
      </w:r>
      <w:r>
        <w:rPr>
          <w:rFonts w:ascii="仿宋_GB2312" w:hAnsi="Calibri" w:eastAsia="仿宋_GB2312" w:cs="仿宋"/>
          <w:b/>
          <w:bCs/>
          <w:color w:val="auto"/>
          <w:kern w:val="0"/>
          <w:sz w:val="32"/>
          <w:szCs w:val="32"/>
          <w:lang w:val="en-US" w:eastAsia="zh-CN" w:bidi="ar-SA"/>
        </w:rPr>
        <w:t>.</w:t>
      </w:r>
      <w:r>
        <w:rPr>
          <w:rFonts w:hint="eastAsia" w:ascii="仿宋_GB2312" w:hAnsi="Calibri" w:eastAsia="仿宋_GB2312" w:cs="仿宋"/>
          <w:b/>
          <w:bCs/>
          <w:color w:val="auto"/>
          <w:kern w:val="0"/>
          <w:sz w:val="32"/>
          <w:szCs w:val="32"/>
          <w:lang w:val="en-US" w:eastAsia="zh-CN" w:bidi="ar-SA"/>
        </w:rPr>
        <w:t>基本支出：</w:t>
      </w:r>
      <w:r>
        <w:rPr>
          <w:rFonts w:hint="eastAsia" w:ascii="仿宋_GB2312" w:eastAsia="仿宋_GB2312"/>
          <w:sz w:val="32"/>
          <w:szCs w:val="32"/>
        </w:rPr>
        <w:t>指为保障机构正常运转、完成日常工作任务而发生的人员支出和公用支出。</w:t>
      </w:r>
    </w:p>
    <w:p w14:paraId="6ED32EA6">
      <w:pPr>
        <w:keepNext w:val="0"/>
        <w:keepLines w:val="0"/>
        <w:pageBreakBefore w:val="0"/>
        <w:widowControl w:val="0"/>
        <w:kinsoku/>
        <w:wordWrap/>
        <w:overflowPunct/>
        <w:topLinePunct w:val="0"/>
        <w:bidi w:val="0"/>
        <w:snapToGrid/>
        <w:spacing w:line="560" w:lineRule="exact"/>
        <w:ind w:firstLine="643" w:firstLineChars="200"/>
        <w:textAlignment w:val="auto"/>
        <w:rPr>
          <w:rFonts w:ascii="仿宋_GB2312" w:eastAsia="仿宋_GB2312"/>
          <w:sz w:val="32"/>
          <w:szCs w:val="32"/>
        </w:rPr>
      </w:pPr>
      <w:r>
        <w:rPr>
          <w:rFonts w:hint="eastAsia" w:ascii="仿宋_GB2312" w:hAnsi="Calibri" w:eastAsia="仿宋_GB2312" w:cs="仿宋"/>
          <w:b/>
          <w:bCs/>
          <w:color w:val="auto"/>
          <w:kern w:val="0"/>
          <w:sz w:val="32"/>
          <w:szCs w:val="32"/>
          <w:lang w:val="en-US" w:eastAsia="zh-CN" w:bidi="ar-SA"/>
        </w:rPr>
        <w:t>16</w:t>
      </w:r>
      <w:r>
        <w:rPr>
          <w:rFonts w:ascii="仿宋_GB2312" w:hAnsi="Calibri" w:eastAsia="仿宋_GB2312" w:cs="仿宋"/>
          <w:b/>
          <w:bCs/>
          <w:color w:val="auto"/>
          <w:kern w:val="0"/>
          <w:sz w:val="32"/>
          <w:szCs w:val="32"/>
          <w:lang w:val="en-US" w:eastAsia="zh-CN" w:bidi="ar-SA"/>
        </w:rPr>
        <w:t>.</w:t>
      </w:r>
      <w:r>
        <w:rPr>
          <w:rFonts w:hint="eastAsia" w:ascii="仿宋_GB2312" w:hAnsi="Calibri" w:eastAsia="仿宋_GB2312" w:cs="仿宋"/>
          <w:b/>
          <w:bCs/>
          <w:color w:val="auto"/>
          <w:kern w:val="0"/>
          <w:sz w:val="32"/>
          <w:szCs w:val="32"/>
          <w:lang w:val="en-US" w:eastAsia="zh-CN" w:bidi="ar-SA"/>
        </w:rPr>
        <w:t>项目支出：</w:t>
      </w:r>
      <w:r>
        <w:rPr>
          <w:rFonts w:hint="eastAsia" w:ascii="仿宋_GB2312" w:eastAsia="仿宋_GB2312"/>
          <w:sz w:val="32"/>
          <w:szCs w:val="32"/>
        </w:rPr>
        <w:t>指在基本支出之外为完成特定行政任务和事业发展目标所发生的支出。</w:t>
      </w:r>
    </w:p>
    <w:p w14:paraId="25F65F3C">
      <w:pPr>
        <w:keepNext w:val="0"/>
        <w:keepLines w:val="0"/>
        <w:pageBreakBefore w:val="0"/>
        <w:widowControl w:val="0"/>
        <w:kinsoku/>
        <w:wordWrap/>
        <w:overflowPunct/>
        <w:topLinePunct w:val="0"/>
        <w:bidi w:val="0"/>
        <w:snapToGrid/>
        <w:spacing w:line="560" w:lineRule="exact"/>
        <w:ind w:firstLine="643" w:firstLineChars="200"/>
        <w:textAlignment w:val="auto"/>
        <w:rPr>
          <w:rFonts w:ascii="仿宋_GB2312" w:eastAsia="仿宋_GB2312"/>
          <w:sz w:val="32"/>
          <w:szCs w:val="32"/>
        </w:rPr>
      </w:pPr>
      <w:r>
        <w:rPr>
          <w:rFonts w:hint="eastAsia" w:ascii="仿宋_GB2312" w:hAnsi="Calibri" w:eastAsia="仿宋_GB2312" w:cs="仿宋"/>
          <w:b/>
          <w:bCs/>
          <w:color w:val="auto"/>
          <w:kern w:val="0"/>
          <w:sz w:val="32"/>
          <w:szCs w:val="32"/>
          <w:lang w:val="en-US" w:eastAsia="zh-CN" w:bidi="ar-SA"/>
        </w:rPr>
        <w:t>17</w:t>
      </w:r>
      <w:r>
        <w:rPr>
          <w:rFonts w:ascii="仿宋_GB2312" w:hAnsi="Calibri" w:eastAsia="仿宋_GB2312" w:cs="仿宋"/>
          <w:b/>
          <w:bCs/>
          <w:color w:val="auto"/>
          <w:kern w:val="0"/>
          <w:sz w:val="32"/>
          <w:szCs w:val="32"/>
          <w:lang w:val="en-US" w:eastAsia="zh-CN" w:bidi="ar-SA"/>
        </w:rPr>
        <w:t>.</w:t>
      </w:r>
      <w:r>
        <w:rPr>
          <w:rFonts w:hint="eastAsia" w:ascii="仿宋_GB2312" w:hAnsi="Calibri" w:eastAsia="仿宋_GB2312" w:cs="仿宋"/>
          <w:b/>
          <w:bCs/>
          <w:color w:val="auto"/>
          <w:kern w:val="0"/>
          <w:sz w:val="32"/>
          <w:szCs w:val="32"/>
          <w:lang w:val="en-US" w:eastAsia="zh-CN" w:bidi="ar-SA"/>
        </w:rPr>
        <w:t>经营支出：</w:t>
      </w:r>
      <w:r>
        <w:rPr>
          <w:rFonts w:hint="eastAsia" w:ascii="仿宋_GB2312" w:eastAsia="仿宋_GB2312"/>
          <w:sz w:val="32"/>
          <w:szCs w:val="32"/>
        </w:rPr>
        <w:t>指事业单位在专业业务活动及其辅助活动之外开展非独立核算经营活动发生的支出。</w:t>
      </w:r>
    </w:p>
    <w:p w14:paraId="3EC77EE1">
      <w:pPr>
        <w:pStyle w:val="26"/>
        <w:keepNext w:val="0"/>
        <w:keepLines w:val="0"/>
        <w:pageBreakBefore w:val="0"/>
        <w:widowControl w:val="0"/>
        <w:kinsoku/>
        <w:wordWrap/>
        <w:overflowPunct/>
        <w:topLinePunct w:val="0"/>
        <w:bidi w:val="0"/>
        <w:snapToGrid/>
        <w:spacing w:line="560" w:lineRule="exact"/>
        <w:ind w:firstLine="643" w:firstLineChars="200"/>
        <w:textAlignment w:val="auto"/>
        <w:rPr>
          <w:rFonts w:ascii="仿宋_GB2312" w:eastAsia="仿宋_GB2312"/>
          <w:color w:val="auto"/>
          <w:sz w:val="32"/>
          <w:szCs w:val="32"/>
        </w:rPr>
      </w:pPr>
      <w:r>
        <w:rPr>
          <w:rFonts w:hint="eastAsia" w:ascii="仿宋_GB2312" w:eastAsia="仿宋_GB2312"/>
          <w:b/>
          <w:bCs/>
          <w:color w:val="auto"/>
          <w:sz w:val="32"/>
          <w:szCs w:val="32"/>
        </w:rPr>
        <w:t>1</w:t>
      </w:r>
      <w:r>
        <w:rPr>
          <w:rFonts w:hint="eastAsia" w:ascii="仿宋_GB2312" w:eastAsia="仿宋_GB2312"/>
          <w:b/>
          <w:bCs/>
          <w:color w:val="auto"/>
          <w:sz w:val="32"/>
          <w:szCs w:val="32"/>
          <w:lang w:val="en-US" w:eastAsia="zh-CN"/>
        </w:rPr>
        <w:t>8</w:t>
      </w:r>
      <w:r>
        <w:rPr>
          <w:rFonts w:ascii="仿宋_GB2312" w:eastAsia="仿宋_GB2312"/>
          <w:b/>
          <w:bCs/>
          <w:color w:val="auto"/>
          <w:sz w:val="32"/>
          <w:szCs w:val="32"/>
        </w:rPr>
        <w:t>.</w:t>
      </w:r>
      <w:r>
        <w:rPr>
          <w:rFonts w:hint="eastAsia" w:ascii="仿宋_GB2312" w:eastAsia="仿宋_GB2312"/>
          <w:b/>
          <w:bCs/>
          <w:color w:val="auto"/>
          <w:sz w:val="32"/>
          <w:szCs w:val="32"/>
        </w:rPr>
        <w:t>“三公”经费：</w:t>
      </w:r>
      <w:r>
        <w:rPr>
          <w:rFonts w:hint="eastAsia" w:ascii="仿宋_GB2312" w:eastAsia="仿宋_GB2312"/>
          <w:color w:val="auto"/>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37F5D1CC">
      <w:pPr>
        <w:pStyle w:val="26"/>
        <w:keepNext w:val="0"/>
        <w:keepLines w:val="0"/>
        <w:pageBreakBefore w:val="0"/>
        <w:widowControl w:val="0"/>
        <w:kinsoku/>
        <w:wordWrap/>
        <w:overflowPunct/>
        <w:topLinePunct w:val="0"/>
        <w:bidi w:val="0"/>
        <w:snapToGrid/>
        <w:spacing w:line="560" w:lineRule="exact"/>
        <w:ind w:firstLine="643" w:firstLineChars="200"/>
        <w:textAlignment w:val="auto"/>
        <w:rPr>
          <w:rFonts w:ascii="仿宋_GB2312" w:eastAsia="仿宋_GB2312"/>
          <w:color w:val="auto"/>
          <w:sz w:val="32"/>
          <w:szCs w:val="32"/>
        </w:rPr>
      </w:pPr>
      <w:r>
        <w:rPr>
          <w:rFonts w:hint="eastAsia" w:ascii="仿宋_GB2312" w:eastAsia="仿宋_GB2312"/>
          <w:b/>
          <w:bCs/>
          <w:color w:val="auto"/>
          <w:sz w:val="32"/>
          <w:szCs w:val="32"/>
        </w:rPr>
        <w:t>1</w:t>
      </w:r>
      <w:r>
        <w:rPr>
          <w:rFonts w:hint="eastAsia" w:ascii="仿宋_GB2312" w:eastAsia="仿宋_GB2312"/>
          <w:b/>
          <w:bCs/>
          <w:color w:val="auto"/>
          <w:sz w:val="32"/>
          <w:szCs w:val="32"/>
          <w:lang w:val="en-US" w:eastAsia="zh-CN"/>
        </w:rPr>
        <w:t>9</w:t>
      </w:r>
      <w:r>
        <w:rPr>
          <w:rFonts w:ascii="仿宋_GB2312" w:eastAsia="仿宋_GB2312"/>
          <w:b/>
          <w:bCs/>
          <w:color w:val="auto"/>
          <w:sz w:val="32"/>
          <w:szCs w:val="32"/>
        </w:rPr>
        <w:t>.</w:t>
      </w:r>
      <w:r>
        <w:rPr>
          <w:rFonts w:hint="eastAsia" w:ascii="仿宋_GB2312" w:eastAsia="仿宋_GB2312"/>
          <w:b/>
          <w:bCs/>
          <w:color w:val="auto"/>
          <w:sz w:val="32"/>
          <w:szCs w:val="32"/>
        </w:rPr>
        <w:t>机关运行经费：</w:t>
      </w:r>
      <w:r>
        <w:rPr>
          <w:rFonts w:hint="eastAsia" w:ascii="仿宋_GB2312" w:eastAsia="仿宋_GB2312"/>
          <w:color w:val="auto"/>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13C0E342">
      <w:pPr>
        <w:keepNext w:val="0"/>
        <w:keepLines w:val="0"/>
        <w:pageBreakBefore w:val="0"/>
        <w:widowControl w:val="0"/>
        <w:kinsoku/>
        <w:wordWrap/>
        <w:overflowPunct/>
        <w:topLinePunct w:val="0"/>
        <w:bidi w:val="0"/>
        <w:snapToGrid/>
        <w:spacing w:line="560" w:lineRule="exact"/>
        <w:jc w:val="center"/>
        <w:textAlignment w:val="auto"/>
        <w:outlineLvl w:val="0"/>
        <w:rPr>
          <w:rStyle w:val="28"/>
          <w:rFonts w:ascii="黑体" w:hAnsi="黑体" w:eastAsia="黑体"/>
          <w:b w:val="0"/>
        </w:rPr>
      </w:pPr>
      <w:bookmarkStart w:id="52" w:name="_Toc15377226"/>
      <w:r>
        <w:rPr>
          <w:rFonts w:ascii="宋体"/>
          <w:b/>
          <w:sz w:val="44"/>
          <w:szCs w:val="44"/>
        </w:rPr>
        <w:br w:type="page"/>
      </w:r>
      <w:bookmarkStart w:id="53" w:name="_Toc15396614"/>
      <w:r>
        <w:rPr>
          <w:rFonts w:hint="eastAsia" w:ascii="黑体" w:hAnsi="黑体" w:eastAsia="黑体"/>
          <w:sz w:val="44"/>
          <w:szCs w:val="44"/>
        </w:rPr>
        <w:t>第</w:t>
      </w:r>
      <w:r>
        <w:rPr>
          <w:rStyle w:val="28"/>
          <w:rFonts w:hint="eastAsia" w:ascii="黑体" w:hAnsi="黑体" w:eastAsia="黑体"/>
          <w:b w:val="0"/>
        </w:rPr>
        <w:t>四部分 附件</w:t>
      </w:r>
      <w:bookmarkEnd w:id="53"/>
    </w:p>
    <w:tbl>
      <w:tblPr>
        <w:tblStyle w:val="14"/>
        <w:tblW w:w="10691" w:type="dxa"/>
        <w:tblInd w:w="-111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870"/>
        <w:gridCol w:w="1063"/>
        <w:gridCol w:w="1040"/>
        <w:gridCol w:w="1438"/>
        <w:gridCol w:w="453"/>
        <w:gridCol w:w="1002"/>
        <w:gridCol w:w="455"/>
        <w:gridCol w:w="967"/>
        <w:gridCol w:w="556"/>
        <w:gridCol w:w="453"/>
        <w:gridCol w:w="1394"/>
      </w:tblGrid>
      <w:tr w14:paraId="74C4FA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6" w:hRule="atLeast"/>
        </w:trPr>
        <w:tc>
          <w:tcPr>
            <w:tcW w:w="1069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7FD3038">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1F98F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29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86204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75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7578D2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51192221T000000203048-基金管理专项经费</w:t>
            </w:r>
          </w:p>
        </w:tc>
      </w:tr>
      <w:tr w14:paraId="4E4E2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6" w:hRule="atLeast"/>
        </w:trPr>
        <w:tc>
          <w:tcPr>
            <w:tcW w:w="29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1622C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38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263370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医疗保障局</w:t>
            </w:r>
          </w:p>
        </w:tc>
        <w:tc>
          <w:tcPr>
            <w:tcW w:w="967" w:type="dxa"/>
            <w:tcBorders>
              <w:top w:val="nil"/>
              <w:left w:val="nil"/>
              <w:bottom w:val="nil"/>
              <w:right w:val="nil"/>
            </w:tcBorders>
            <w:shd w:val="clear" w:color="auto" w:fill="auto"/>
            <w:vAlign w:val="center"/>
          </w:tcPr>
          <w:p w14:paraId="17E73E88">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4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9B69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南江县医疗保障局</w:t>
            </w:r>
          </w:p>
        </w:tc>
      </w:tr>
      <w:tr w14:paraId="14D42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18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3CC33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0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A51FE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38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EB5D2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3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A96D8E7">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53FB2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9" w:hRule="atLeast"/>
        </w:trPr>
        <w:tc>
          <w:tcPr>
            <w:tcW w:w="1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01C21A">
            <w:pPr>
              <w:rPr>
                <w:rFonts w:hint="eastAsia" w:ascii="宋体" w:hAnsi="宋体" w:eastAsia="宋体" w:cs="宋体"/>
                <w:i w:val="0"/>
                <w:iCs w:val="0"/>
                <w:color w:val="000000"/>
                <w:sz w:val="18"/>
                <w:szCs w:val="18"/>
                <w:u w:val="none"/>
              </w:rPr>
            </w:pPr>
          </w:p>
        </w:tc>
        <w:tc>
          <w:tcPr>
            <w:tcW w:w="10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645A00">
            <w:pPr>
              <w:rPr>
                <w:rFonts w:hint="eastAsia" w:ascii="宋体" w:hAnsi="宋体" w:eastAsia="宋体" w:cs="宋体"/>
                <w:i w:val="0"/>
                <w:iCs w:val="0"/>
                <w:color w:val="000000"/>
                <w:sz w:val="18"/>
                <w:szCs w:val="18"/>
                <w:u w:val="none"/>
              </w:rPr>
            </w:pPr>
          </w:p>
        </w:tc>
        <w:tc>
          <w:tcPr>
            <w:tcW w:w="438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ED3958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根据上级要求，为完成对医保基金的监督管理工作，2023年通过开展基金集中宣传月， 打击欺诈骗保专项治理检查"回头看"工作， 持续推进定点医疗机构药品、耗材带量采购工作等，预计投入20万元经费，为保障医保基金合理高效使用，及时兑现医保政策。</w:t>
            </w:r>
          </w:p>
        </w:tc>
        <w:tc>
          <w:tcPr>
            <w:tcW w:w="33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9C43798">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660E1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1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5EFEFE">
            <w:pPr>
              <w:rPr>
                <w:rFonts w:hint="eastAsia" w:ascii="宋体" w:hAnsi="宋体" w:eastAsia="宋体" w:cs="宋体"/>
                <w:i w:val="0"/>
                <w:iCs w:val="0"/>
                <w:color w:val="000000"/>
                <w:sz w:val="18"/>
                <w:szCs w:val="18"/>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D719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75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BA1D43B">
            <w:pPr>
              <w:rPr>
                <w:rFonts w:hint="eastAsia" w:ascii="宋体" w:hAnsi="宋体" w:eastAsia="宋体" w:cs="宋体"/>
                <w:i w:val="0"/>
                <w:iCs w:val="0"/>
                <w:color w:val="000000"/>
                <w:sz w:val="18"/>
                <w:szCs w:val="18"/>
                <w:u w:val="none"/>
              </w:rPr>
            </w:pPr>
          </w:p>
        </w:tc>
      </w:tr>
      <w:tr w14:paraId="2BE2B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8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7393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FC8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46E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B7D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9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7B7B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743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801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2F3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33A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1DBEB8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1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8C7D6D">
            <w:pPr>
              <w:jc w:val="center"/>
              <w:rPr>
                <w:rFonts w:hint="eastAsia" w:ascii="宋体" w:hAnsi="宋体" w:eastAsia="宋体" w:cs="宋体"/>
                <w:i w:val="0"/>
                <w:iCs w:val="0"/>
                <w:color w:val="000000"/>
                <w:sz w:val="18"/>
                <w:szCs w:val="18"/>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589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0CB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BE5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19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722B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8.73</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D4D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87.29%</w:t>
            </w:r>
          </w:p>
        </w:tc>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510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67E13">
            <w:pPr>
              <w:jc w:val="center"/>
              <w:rPr>
                <w:rFonts w:hint="eastAsia" w:ascii="宋体" w:hAnsi="宋体" w:eastAsia="宋体" w:cs="宋体"/>
                <w:i w:val="0"/>
                <w:iCs w:val="0"/>
                <w:color w:val="000000"/>
                <w:sz w:val="18"/>
                <w:szCs w:val="18"/>
                <w:u w:val="none"/>
              </w:rPr>
            </w:pPr>
          </w:p>
        </w:tc>
        <w:tc>
          <w:tcPr>
            <w:tcW w:w="13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1A204C">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19C652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C10252">
            <w:pPr>
              <w:jc w:val="center"/>
              <w:rPr>
                <w:rFonts w:hint="eastAsia" w:ascii="宋体" w:hAnsi="宋体" w:eastAsia="宋体" w:cs="宋体"/>
                <w:i w:val="0"/>
                <w:iCs w:val="0"/>
                <w:color w:val="000000"/>
                <w:sz w:val="18"/>
                <w:szCs w:val="18"/>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AE6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934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95D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19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BEFA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8.73</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2C4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87.29%</w:t>
            </w:r>
          </w:p>
        </w:tc>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17A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FA4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3DD1A7">
            <w:pPr>
              <w:rPr>
                <w:rFonts w:hint="eastAsia" w:ascii="黑体" w:hAnsi="黑体" w:eastAsia="黑体" w:cs="黑体"/>
                <w:i/>
                <w:iCs/>
                <w:color w:val="000000"/>
                <w:sz w:val="18"/>
                <w:szCs w:val="18"/>
                <w:u w:val="none"/>
              </w:rPr>
            </w:pPr>
          </w:p>
        </w:tc>
      </w:tr>
      <w:tr w14:paraId="73E5C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9D9FBE">
            <w:pPr>
              <w:jc w:val="center"/>
              <w:rPr>
                <w:rFonts w:hint="eastAsia" w:ascii="宋体" w:hAnsi="宋体" w:eastAsia="宋体" w:cs="宋体"/>
                <w:i w:val="0"/>
                <w:iCs w:val="0"/>
                <w:color w:val="000000"/>
                <w:sz w:val="18"/>
                <w:szCs w:val="18"/>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BFB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80C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43A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9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680B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001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F6C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B1A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7944D0">
            <w:pPr>
              <w:rPr>
                <w:rFonts w:hint="eastAsia" w:ascii="黑体" w:hAnsi="黑体" w:eastAsia="黑体" w:cs="黑体"/>
                <w:i/>
                <w:iCs/>
                <w:color w:val="000000"/>
                <w:sz w:val="18"/>
                <w:szCs w:val="18"/>
                <w:u w:val="none"/>
              </w:rPr>
            </w:pPr>
          </w:p>
        </w:tc>
      </w:tr>
      <w:tr w14:paraId="20C3F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1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20CD62">
            <w:pPr>
              <w:jc w:val="center"/>
              <w:rPr>
                <w:rFonts w:hint="eastAsia" w:ascii="宋体" w:hAnsi="宋体" w:eastAsia="宋体" w:cs="宋体"/>
                <w:i w:val="0"/>
                <w:iCs w:val="0"/>
                <w:color w:val="000000"/>
                <w:sz w:val="18"/>
                <w:szCs w:val="18"/>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BD5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82F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6DF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9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FBC5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E45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049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500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436B0D">
            <w:pPr>
              <w:rPr>
                <w:rFonts w:hint="eastAsia" w:ascii="黑体" w:hAnsi="黑体" w:eastAsia="黑体" w:cs="黑体"/>
                <w:i/>
                <w:iCs/>
                <w:color w:val="000000"/>
                <w:sz w:val="18"/>
                <w:szCs w:val="18"/>
                <w:u w:val="none"/>
              </w:rPr>
            </w:pPr>
          </w:p>
        </w:tc>
      </w:tr>
      <w:tr w14:paraId="16C424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8" w:hRule="atLeast"/>
        </w:trPr>
        <w:tc>
          <w:tcPr>
            <w:tcW w:w="1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A06512">
            <w:pPr>
              <w:jc w:val="center"/>
              <w:rPr>
                <w:rFonts w:hint="eastAsia" w:ascii="宋体" w:hAnsi="宋体" w:eastAsia="宋体" w:cs="宋体"/>
                <w:i w:val="0"/>
                <w:iCs w:val="0"/>
                <w:color w:val="000000"/>
                <w:sz w:val="18"/>
                <w:szCs w:val="18"/>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E44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11CC8">
            <w:pPr>
              <w:jc w:val="center"/>
              <w:rPr>
                <w:rFonts w:hint="eastAsia" w:ascii="微软雅黑" w:hAnsi="微软雅黑" w:eastAsia="微软雅黑" w:cs="微软雅黑"/>
                <w:i/>
                <w:iCs/>
                <w:color w:val="000000"/>
                <w:sz w:val="16"/>
                <w:szCs w:val="16"/>
                <w:u w:val="none"/>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B9907">
            <w:pPr>
              <w:jc w:val="center"/>
              <w:rPr>
                <w:rFonts w:hint="eastAsia" w:ascii="微软雅黑" w:hAnsi="微软雅黑" w:eastAsia="微软雅黑" w:cs="微软雅黑"/>
                <w:i/>
                <w:iCs/>
                <w:color w:val="000000"/>
                <w:sz w:val="16"/>
                <w:szCs w:val="16"/>
                <w:u w:val="none"/>
              </w:rPr>
            </w:pPr>
          </w:p>
        </w:tc>
        <w:tc>
          <w:tcPr>
            <w:tcW w:w="19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427D57">
            <w:pPr>
              <w:jc w:val="center"/>
              <w:rPr>
                <w:rFonts w:hint="eastAsia" w:ascii="微软雅黑" w:hAnsi="微软雅黑" w:eastAsia="微软雅黑" w:cs="微软雅黑"/>
                <w:i/>
                <w:iCs/>
                <w:color w:val="000000"/>
                <w:sz w:val="16"/>
                <w:szCs w:val="16"/>
                <w:u w:val="none"/>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81291">
            <w:pPr>
              <w:jc w:val="center"/>
              <w:rPr>
                <w:rFonts w:hint="eastAsia" w:ascii="微软雅黑" w:hAnsi="微软雅黑" w:eastAsia="微软雅黑" w:cs="微软雅黑"/>
                <w:i/>
                <w:iCs/>
                <w:color w:val="000000"/>
                <w:sz w:val="16"/>
                <w:szCs w:val="16"/>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22E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290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13A23A">
            <w:pPr>
              <w:rPr>
                <w:rFonts w:hint="eastAsia" w:ascii="黑体" w:hAnsi="黑体" w:eastAsia="黑体" w:cs="黑体"/>
                <w:i/>
                <w:iCs/>
                <w:color w:val="000000"/>
                <w:sz w:val="18"/>
                <w:szCs w:val="18"/>
                <w:u w:val="none"/>
              </w:rPr>
            </w:pPr>
          </w:p>
        </w:tc>
      </w:tr>
      <w:tr w14:paraId="2311DE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9" w:hRule="atLeast"/>
        </w:trPr>
        <w:tc>
          <w:tcPr>
            <w:tcW w:w="18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93D2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7CE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08C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880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C2B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34F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8A0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1AB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E65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59F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485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2FD6D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22A2AE">
            <w:pPr>
              <w:jc w:val="center"/>
              <w:rPr>
                <w:rFonts w:hint="eastAsia" w:ascii="宋体" w:hAnsi="宋体" w:eastAsia="宋体" w:cs="宋体"/>
                <w:i w:val="0"/>
                <w:iCs w:val="0"/>
                <w:color w:val="000000"/>
                <w:sz w:val="18"/>
                <w:szCs w:val="18"/>
                <w:u w:val="none"/>
              </w:rPr>
            </w:pPr>
          </w:p>
        </w:tc>
        <w:tc>
          <w:tcPr>
            <w:tcW w:w="10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5062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18F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673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医药机构监督检查覆盖率</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D0B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09B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A8B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C7D18">
            <w:pPr>
              <w:jc w:val="center"/>
              <w:rPr>
                <w:rFonts w:hint="eastAsia" w:ascii="微软雅黑" w:hAnsi="微软雅黑" w:eastAsia="微软雅黑" w:cs="微软雅黑"/>
                <w:i/>
                <w:iCs/>
                <w:color w:val="000000"/>
                <w:sz w:val="16"/>
                <w:szCs w:val="16"/>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F6C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FD466">
            <w:pPr>
              <w:jc w:val="center"/>
              <w:rPr>
                <w:rFonts w:hint="eastAsia" w:ascii="宋体" w:hAnsi="宋体" w:eastAsia="宋体" w:cs="宋体"/>
                <w:i w:val="0"/>
                <w:iCs w:val="0"/>
                <w:color w:val="000000"/>
                <w:sz w:val="18"/>
                <w:szCs w:val="18"/>
                <w:u w:val="none"/>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41EB0">
            <w:pPr>
              <w:jc w:val="center"/>
              <w:rPr>
                <w:rFonts w:hint="eastAsia" w:ascii="微软雅黑" w:hAnsi="微软雅黑" w:eastAsia="微软雅黑" w:cs="微软雅黑"/>
                <w:i/>
                <w:iCs/>
                <w:color w:val="000000"/>
                <w:sz w:val="16"/>
                <w:szCs w:val="16"/>
                <w:u w:val="none"/>
              </w:rPr>
            </w:pPr>
          </w:p>
        </w:tc>
      </w:tr>
      <w:tr w14:paraId="40FBAE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AFC930">
            <w:pPr>
              <w:jc w:val="center"/>
              <w:rPr>
                <w:rFonts w:hint="eastAsia" w:ascii="宋体" w:hAnsi="宋体" w:eastAsia="宋体" w:cs="宋体"/>
                <w:i w:val="0"/>
                <w:iCs w:val="0"/>
                <w:color w:val="000000"/>
                <w:sz w:val="18"/>
                <w:szCs w:val="18"/>
                <w:u w:val="none"/>
              </w:rPr>
            </w:pPr>
          </w:p>
        </w:tc>
        <w:tc>
          <w:tcPr>
            <w:tcW w:w="10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7D0A48">
            <w:pPr>
              <w:jc w:val="center"/>
              <w:rPr>
                <w:rFonts w:hint="eastAsia" w:ascii="宋体" w:hAnsi="宋体" w:eastAsia="宋体" w:cs="宋体"/>
                <w:i w:val="0"/>
                <w:iCs w:val="0"/>
                <w:color w:val="000000"/>
                <w:sz w:val="18"/>
                <w:szCs w:val="18"/>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6AD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743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打击欺诈骗保查处率</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0A7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FB7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368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F8494">
            <w:pPr>
              <w:jc w:val="center"/>
              <w:rPr>
                <w:rFonts w:hint="eastAsia" w:ascii="微软雅黑" w:hAnsi="微软雅黑" w:eastAsia="微软雅黑" w:cs="微软雅黑"/>
                <w:i/>
                <w:iCs/>
                <w:color w:val="000000"/>
                <w:sz w:val="16"/>
                <w:szCs w:val="16"/>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BF5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9D0A5">
            <w:pPr>
              <w:jc w:val="center"/>
              <w:rPr>
                <w:rFonts w:hint="eastAsia" w:ascii="宋体" w:hAnsi="宋体" w:eastAsia="宋体" w:cs="宋体"/>
                <w:i w:val="0"/>
                <w:iCs w:val="0"/>
                <w:color w:val="000000"/>
                <w:sz w:val="18"/>
                <w:szCs w:val="18"/>
                <w:u w:val="none"/>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3873B">
            <w:pPr>
              <w:jc w:val="center"/>
              <w:rPr>
                <w:rFonts w:hint="eastAsia" w:ascii="微软雅黑" w:hAnsi="微软雅黑" w:eastAsia="微软雅黑" w:cs="微软雅黑"/>
                <w:i/>
                <w:iCs/>
                <w:color w:val="000000"/>
                <w:sz w:val="16"/>
                <w:szCs w:val="16"/>
                <w:u w:val="none"/>
              </w:rPr>
            </w:pPr>
          </w:p>
        </w:tc>
      </w:tr>
      <w:tr w14:paraId="50868A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D0F3E4">
            <w:pPr>
              <w:jc w:val="center"/>
              <w:rPr>
                <w:rFonts w:hint="eastAsia" w:ascii="宋体" w:hAnsi="宋体" w:eastAsia="宋体" w:cs="宋体"/>
                <w:i w:val="0"/>
                <w:iCs w:val="0"/>
                <w:color w:val="000000"/>
                <w:sz w:val="18"/>
                <w:szCs w:val="18"/>
                <w:u w:val="none"/>
              </w:rPr>
            </w:pPr>
          </w:p>
        </w:tc>
        <w:tc>
          <w:tcPr>
            <w:tcW w:w="10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BED18C">
            <w:pPr>
              <w:jc w:val="center"/>
              <w:rPr>
                <w:rFonts w:hint="eastAsia" w:ascii="宋体" w:hAnsi="宋体" w:eastAsia="宋体" w:cs="宋体"/>
                <w:i w:val="0"/>
                <w:iCs w:val="0"/>
                <w:color w:val="000000"/>
                <w:sz w:val="18"/>
                <w:szCs w:val="18"/>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AB8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958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完成时间</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1D2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201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564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6FDBA">
            <w:pPr>
              <w:jc w:val="center"/>
              <w:rPr>
                <w:rFonts w:hint="eastAsia" w:ascii="微软雅黑" w:hAnsi="微软雅黑" w:eastAsia="微软雅黑" w:cs="微软雅黑"/>
                <w:i/>
                <w:iCs/>
                <w:color w:val="000000"/>
                <w:sz w:val="16"/>
                <w:szCs w:val="16"/>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07F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F961D">
            <w:pPr>
              <w:jc w:val="center"/>
              <w:rPr>
                <w:rFonts w:hint="eastAsia" w:ascii="宋体" w:hAnsi="宋体" w:eastAsia="宋体" w:cs="宋体"/>
                <w:i w:val="0"/>
                <w:iCs w:val="0"/>
                <w:color w:val="000000"/>
                <w:sz w:val="18"/>
                <w:szCs w:val="18"/>
                <w:u w:val="none"/>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DB0D5">
            <w:pPr>
              <w:jc w:val="center"/>
              <w:rPr>
                <w:rFonts w:hint="eastAsia" w:ascii="微软雅黑" w:hAnsi="微软雅黑" w:eastAsia="微软雅黑" w:cs="微软雅黑"/>
                <w:i/>
                <w:iCs/>
                <w:color w:val="000000"/>
                <w:sz w:val="16"/>
                <w:szCs w:val="16"/>
                <w:u w:val="none"/>
              </w:rPr>
            </w:pPr>
          </w:p>
        </w:tc>
      </w:tr>
      <w:tr w14:paraId="49E3B6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6" w:hRule="atLeast"/>
        </w:trPr>
        <w:tc>
          <w:tcPr>
            <w:tcW w:w="1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C4D9F5">
            <w:pPr>
              <w:jc w:val="center"/>
              <w:rPr>
                <w:rFonts w:hint="eastAsia" w:ascii="宋体" w:hAnsi="宋体" w:eastAsia="宋体" w:cs="宋体"/>
                <w:i w:val="0"/>
                <w:iCs w:val="0"/>
                <w:color w:val="000000"/>
                <w:sz w:val="18"/>
                <w:szCs w:val="18"/>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DD0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728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EB1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建立社会监督制度，营造全民参与打击欺诈骗保</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46D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88D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有效改善</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8C3FE">
            <w:pPr>
              <w:jc w:val="center"/>
              <w:rPr>
                <w:rFonts w:hint="eastAsia" w:ascii="宋体" w:hAnsi="宋体" w:eastAsia="宋体" w:cs="宋体"/>
                <w:i w:val="0"/>
                <w:iCs w:val="0"/>
                <w:color w:val="000000"/>
                <w:sz w:val="18"/>
                <w:szCs w:val="18"/>
                <w:u w:val="none"/>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E1BF5">
            <w:pPr>
              <w:jc w:val="center"/>
              <w:rPr>
                <w:rFonts w:hint="eastAsia" w:ascii="微软雅黑" w:hAnsi="微软雅黑" w:eastAsia="微软雅黑" w:cs="微软雅黑"/>
                <w:i/>
                <w:iCs/>
                <w:color w:val="000000"/>
                <w:sz w:val="16"/>
                <w:szCs w:val="16"/>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AF0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EE863">
            <w:pPr>
              <w:jc w:val="center"/>
              <w:rPr>
                <w:rFonts w:hint="eastAsia" w:ascii="宋体" w:hAnsi="宋体" w:eastAsia="宋体" w:cs="宋体"/>
                <w:i w:val="0"/>
                <w:iCs w:val="0"/>
                <w:color w:val="000000"/>
                <w:sz w:val="18"/>
                <w:szCs w:val="18"/>
                <w:u w:val="none"/>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57BF0">
            <w:pPr>
              <w:jc w:val="center"/>
              <w:rPr>
                <w:rFonts w:hint="eastAsia" w:ascii="微软雅黑" w:hAnsi="微软雅黑" w:eastAsia="微软雅黑" w:cs="微软雅黑"/>
                <w:i/>
                <w:iCs/>
                <w:color w:val="000000"/>
                <w:sz w:val="16"/>
                <w:szCs w:val="16"/>
                <w:u w:val="none"/>
              </w:rPr>
            </w:pPr>
          </w:p>
        </w:tc>
      </w:tr>
      <w:tr w14:paraId="73C4F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8EC3FD">
            <w:pPr>
              <w:jc w:val="center"/>
              <w:rPr>
                <w:rFonts w:hint="eastAsia" w:ascii="宋体" w:hAnsi="宋体" w:eastAsia="宋体" w:cs="宋体"/>
                <w:i w:val="0"/>
                <w:iCs w:val="0"/>
                <w:color w:val="000000"/>
                <w:sz w:val="18"/>
                <w:szCs w:val="18"/>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444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EF3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4AA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参保群众</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DD6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37A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B85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1AA4D">
            <w:pPr>
              <w:jc w:val="center"/>
              <w:rPr>
                <w:rFonts w:hint="eastAsia" w:ascii="微软雅黑" w:hAnsi="微软雅黑" w:eastAsia="微软雅黑" w:cs="微软雅黑"/>
                <w:i/>
                <w:iCs/>
                <w:color w:val="000000"/>
                <w:sz w:val="16"/>
                <w:szCs w:val="16"/>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7E5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FB336">
            <w:pPr>
              <w:jc w:val="center"/>
              <w:rPr>
                <w:rFonts w:hint="eastAsia" w:ascii="宋体" w:hAnsi="宋体" w:eastAsia="宋体" w:cs="宋体"/>
                <w:i w:val="0"/>
                <w:iCs w:val="0"/>
                <w:color w:val="000000"/>
                <w:sz w:val="18"/>
                <w:szCs w:val="18"/>
                <w:u w:val="none"/>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33DB2">
            <w:pPr>
              <w:jc w:val="center"/>
              <w:rPr>
                <w:rFonts w:hint="eastAsia" w:ascii="微软雅黑" w:hAnsi="微软雅黑" w:eastAsia="微软雅黑" w:cs="微软雅黑"/>
                <w:i/>
                <w:iCs/>
                <w:color w:val="000000"/>
                <w:sz w:val="16"/>
                <w:szCs w:val="16"/>
                <w:u w:val="none"/>
              </w:rPr>
            </w:pPr>
          </w:p>
        </w:tc>
      </w:tr>
      <w:tr w14:paraId="7156C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9" w:hRule="atLeast"/>
        </w:trPr>
        <w:tc>
          <w:tcPr>
            <w:tcW w:w="1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A66061">
            <w:pPr>
              <w:jc w:val="center"/>
              <w:rPr>
                <w:rFonts w:hint="eastAsia" w:ascii="宋体" w:hAnsi="宋体" w:eastAsia="宋体" w:cs="宋体"/>
                <w:i w:val="0"/>
                <w:iCs w:val="0"/>
                <w:color w:val="000000"/>
                <w:sz w:val="18"/>
                <w:szCs w:val="18"/>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78B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4F1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E51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购置办公设备等60000元，邮电费14000元，差旅费120000元</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F4C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ECD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194000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239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6E5E6">
            <w:pPr>
              <w:jc w:val="center"/>
              <w:rPr>
                <w:rFonts w:hint="eastAsia" w:ascii="微软雅黑" w:hAnsi="微软雅黑" w:eastAsia="微软雅黑" w:cs="微软雅黑"/>
                <w:i/>
                <w:iCs/>
                <w:color w:val="000000"/>
                <w:sz w:val="16"/>
                <w:szCs w:val="16"/>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DD8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871A8">
            <w:pPr>
              <w:jc w:val="center"/>
              <w:rPr>
                <w:rFonts w:hint="eastAsia" w:ascii="宋体" w:hAnsi="宋体" w:eastAsia="宋体" w:cs="宋体"/>
                <w:i w:val="0"/>
                <w:iCs w:val="0"/>
                <w:color w:val="000000"/>
                <w:sz w:val="18"/>
                <w:szCs w:val="18"/>
                <w:u w:val="none"/>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441F4">
            <w:pPr>
              <w:jc w:val="center"/>
              <w:rPr>
                <w:rFonts w:hint="eastAsia" w:ascii="微软雅黑" w:hAnsi="微软雅黑" w:eastAsia="微软雅黑" w:cs="微软雅黑"/>
                <w:i/>
                <w:iCs/>
                <w:color w:val="000000"/>
                <w:sz w:val="16"/>
                <w:szCs w:val="16"/>
                <w:u w:val="none"/>
              </w:rPr>
            </w:pPr>
          </w:p>
        </w:tc>
      </w:tr>
      <w:tr w14:paraId="52551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828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0E7DF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773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0B87F">
            <w:pPr>
              <w:rPr>
                <w:rFonts w:hint="eastAsia" w:ascii="宋体" w:hAnsi="宋体" w:eastAsia="宋体" w:cs="宋体"/>
                <w:i w:val="0"/>
                <w:iCs w:val="0"/>
                <w:color w:val="000000"/>
                <w:sz w:val="18"/>
                <w:szCs w:val="18"/>
                <w:u w:val="none"/>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9531A">
            <w:pPr>
              <w:rPr>
                <w:rFonts w:hint="eastAsia" w:ascii="宋体" w:hAnsi="宋体" w:eastAsia="宋体" w:cs="宋体"/>
                <w:i w:val="0"/>
                <w:iCs w:val="0"/>
                <w:color w:val="000000"/>
                <w:sz w:val="18"/>
                <w:szCs w:val="18"/>
                <w:u w:val="none"/>
              </w:rPr>
            </w:pPr>
          </w:p>
        </w:tc>
      </w:tr>
      <w:tr w14:paraId="120843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D2B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82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B094BA5">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491A3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A6E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82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3EE1CA8">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0CD5D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574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82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A48C674">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51F76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58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283263E">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项目负责人：何俊杰</w:t>
            </w:r>
          </w:p>
        </w:tc>
        <w:tc>
          <w:tcPr>
            <w:tcW w:w="482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9ECD948">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财务负责人：马林</w:t>
            </w:r>
          </w:p>
        </w:tc>
      </w:tr>
      <w:tr w14:paraId="7A7576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6" w:hRule="atLeast"/>
        </w:trPr>
        <w:tc>
          <w:tcPr>
            <w:tcW w:w="1069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01AFD09">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79CAF2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29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C0526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75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D513BA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51192222Y000000345281-乡村振兴与脱贫攻坚衔接驻村经费</w:t>
            </w:r>
          </w:p>
        </w:tc>
      </w:tr>
      <w:tr w14:paraId="37311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6" w:hRule="atLeast"/>
        </w:trPr>
        <w:tc>
          <w:tcPr>
            <w:tcW w:w="29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B4F3A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38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B1CC3A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医疗保障局</w:t>
            </w:r>
          </w:p>
        </w:tc>
        <w:tc>
          <w:tcPr>
            <w:tcW w:w="967" w:type="dxa"/>
            <w:tcBorders>
              <w:top w:val="nil"/>
              <w:left w:val="nil"/>
              <w:bottom w:val="nil"/>
              <w:right w:val="nil"/>
            </w:tcBorders>
            <w:shd w:val="clear" w:color="auto" w:fill="auto"/>
            <w:vAlign w:val="center"/>
          </w:tcPr>
          <w:p w14:paraId="4E189E39">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4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302E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南江县医疗保障局</w:t>
            </w:r>
          </w:p>
        </w:tc>
      </w:tr>
      <w:tr w14:paraId="76B9FF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18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079E7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0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A8398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38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55D0D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3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F173833">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337A4A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9" w:hRule="atLeast"/>
        </w:trPr>
        <w:tc>
          <w:tcPr>
            <w:tcW w:w="1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5E98A5">
            <w:pPr>
              <w:rPr>
                <w:rFonts w:hint="eastAsia" w:ascii="宋体" w:hAnsi="宋体" w:eastAsia="宋体" w:cs="宋体"/>
                <w:i w:val="0"/>
                <w:iCs w:val="0"/>
                <w:color w:val="000000"/>
                <w:sz w:val="18"/>
                <w:szCs w:val="18"/>
                <w:u w:val="none"/>
              </w:rPr>
            </w:pPr>
          </w:p>
        </w:tc>
        <w:tc>
          <w:tcPr>
            <w:tcW w:w="10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1836CE">
            <w:pPr>
              <w:rPr>
                <w:rFonts w:hint="eastAsia" w:ascii="宋体" w:hAnsi="宋体" w:eastAsia="宋体" w:cs="宋体"/>
                <w:i w:val="0"/>
                <w:iCs w:val="0"/>
                <w:color w:val="000000"/>
                <w:sz w:val="18"/>
                <w:szCs w:val="18"/>
                <w:u w:val="none"/>
              </w:rPr>
            </w:pPr>
          </w:p>
        </w:tc>
        <w:tc>
          <w:tcPr>
            <w:tcW w:w="438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DD31EC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根据文件要求，为巩固脱贫攻坚工作，有效衔接乡村振兴发展，2023年继续派驻第一书记李晓开展驻村工作，预计投入2万元经费，实现乡村振兴与脱贫攻坚工作有效衔接。</w:t>
            </w:r>
          </w:p>
        </w:tc>
        <w:tc>
          <w:tcPr>
            <w:tcW w:w="33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7EB49FC">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31B2F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1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FF227F">
            <w:pPr>
              <w:rPr>
                <w:rFonts w:hint="eastAsia" w:ascii="宋体" w:hAnsi="宋体" w:eastAsia="宋体" w:cs="宋体"/>
                <w:i w:val="0"/>
                <w:iCs w:val="0"/>
                <w:color w:val="000000"/>
                <w:sz w:val="18"/>
                <w:szCs w:val="18"/>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8271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75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10D1168">
            <w:pPr>
              <w:rPr>
                <w:rFonts w:hint="eastAsia" w:ascii="宋体" w:hAnsi="宋体" w:eastAsia="宋体" w:cs="宋体"/>
                <w:i w:val="0"/>
                <w:iCs w:val="0"/>
                <w:color w:val="000000"/>
                <w:sz w:val="18"/>
                <w:szCs w:val="18"/>
                <w:u w:val="none"/>
              </w:rPr>
            </w:pPr>
          </w:p>
        </w:tc>
      </w:tr>
      <w:tr w14:paraId="372C7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8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3DB4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556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4C8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8F3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9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844E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0D5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E0F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ABE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E3E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61BD4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1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6ABF99">
            <w:pPr>
              <w:jc w:val="center"/>
              <w:rPr>
                <w:rFonts w:hint="eastAsia" w:ascii="宋体" w:hAnsi="宋体" w:eastAsia="宋体" w:cs="宋体"/>
                <w:i w:val="0"/>
                <w:iCs w:val="0"/>
                <w:color w:val="000000"/>
                <w:sz w:val="18"/>
                <w:szCs w:val="18"/>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8D1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FC6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693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2.50</w:t>
            </w:r>
          </w:p>
        </w:tc>
        <w:tc>
          <w:tcPr>
            <w:tcW w:w="19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B84A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2.50</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A22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15F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08996">
            <w:pPr>
              <w:jc w:val="center"/>
              <w:rPr>
                <w:rFonts w:hint="eastAsia" w:ascii="宋体" w:hAnsi="宋体" w:eastAsia="宋体" w:cs="宋体"/>
                <w:i w:val="0"/>
                <w:iCs w:val="0"/>
                <w:color w:val="000000"/>
                <w:sz w:val="18"/>
                <w:szCs w:val="18"/>
                <w:u w:val="none"/>
              </w:rPr>
            </w:pPr>
          </w:p>
        </w:tc>
        <w:tc>
          <w:tcPr>
            <w:tcW w:w="13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D293A2">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33A13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E469ED">
            <w:pPr>
              <w:jc w:val="center"/>
              <w:rPr>
                <w:rFonts w:hint="eastAsia" w:ascii="宋体" w:hAnsi="宋体" w:eastAsia="宋体" w:cs="宋体"/>
                <w:i w:val="0"/>
                <w:iCs w:val="0"/>
                <w:color w:val="000000"/>
                <w:sz w:val="18"/>
                <w:szCs w:val="18"/>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580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581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BE0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2.50</w:t>
            </w:r>
          </w:p>
        </w:tc>
        <w:tc>
          <w:tcPr>
            <w:tcW w:w="19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78C5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2.50</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881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F06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F61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2C7186">
            <w:pPr>
              <w:rPr>
                <w:rFonts w:hint="eastAsia" w:ascii="黑体" w:hAnsi="黑体" w:eastAsia="黑体" w:cs="黑体"/>
                <w:i/>
                <w:iCs/>
                <w:color w:val="000000"/>
                <w:sz w:val="18"/>
                <w:szCs w:val="18"/>
                <w:u w:val="none"/>
              </w:rPr>
            </w:pPr>
          </w:p>
        </w:tc>
      </w:tr>
      <w:tr w14:paraId="0E18FC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960F8A">
            <w:pPr>
              <w:jc w:val="center"/>
              <w:rPr>
                <w:rFonts w:hint="eastAsia" w:ascii="宋体" w:hAnsi="宋体" w:eastAsia="宋体" w:cs="宋体"/>
                <w:i w:val="0"/>
                <w:iCs w:val="0"/>
                <w:color w:val="000000"/>
                <w:sz w:val="18"/>
                <w:szCs w:val="18"/>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870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0FC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4C0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9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C4A5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1D9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E16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293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156FE5">
            <w:pPr>
              <w:rPr>
                <w:rFonts w:hint="eastAsia" w:ascii="黑体" w:hAnsi="黑体" w:eastAsia="黑体" w:cs="黑体"/>
                <w:i/>
                <w:iCs/>
                <w:color w:val="000000"/>
                <w:sz w:val="18"/>
                <w:szCs w:val="18"/>
                <w:u w:val="none"/>
              </w:rPr>
            </w:pPr>
          </w:p>
        </w:tc>
      </w:tr>
      <w:tr w14:paraId="357D2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1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1A83A3">
            <w:pPr>
              <w:jc w:val="center"/>
              <w:rPr>
                <w:rFonts w:hint="eastAsia" w:ascii="宋体" w:hAnsi="宋体" w:eastAsia="宋体" w:cs="宋体"/>
                <w:i w:val="0"/>
                <w:iCs w:val="0"/>
                <w:color w:val="000000"/>
                <w:sz w:val="18"/>
                <w:szCs w:val="18"/>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0C6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CF5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84E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9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DEC5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181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428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ACF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065691">
            <w:pPr>
              <w:rPr>
                <w:rFonts w:hint="eastAsia" w:ascii="黑体" w:hAnsi="黑体" w:eastAsia="黑体" w:cs="黑体"/>
                <w:i/>
                <w:iCs/>
                <w:color w:val="000000"/>
                <w:sz w:val="18"/>
                <w:szCs w:val="18"/>
                <w:u w:val="none"/>
              </w:rPr>
            </w:pPr>
          </w:p>
        </w:tc>
      </w:tr>
      <w:tr w14:paraId="3EA54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3" w:hRule="atLeast"/>
        </w:trPr>
        <w:tc>
          <w:tcPr>
            <w:tcW w:w="1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A3B020">
            <w:pPr>
              <w:jc w:val="center"/>
              <w:rPr>
                <w:rFonts w:hint="eastAsia" w:ascii="宋体" w:hAnsi="宋体" w:eastAsia="宋体" w:cs="宋体"/>
                <w:i w:val="0"/>
                <w:iCs w:val="0"/>
                <w:color w:val="000000"/>
                <w:sz w:val="18"/>
                <w:szCs w:val="18"/>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3C7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6A08D">
            <w:pPr>
              <w:jc w:val="center"/>
              <w:rPr>
                <w:rFonts w:hint="eastAsia" w:ascii="微软雅黑" w:hAnsi="微软雅黑" w:eastAsia="微软雅黑" w:cs="微软雅黑"/>
                <w:i/>
                <w:iCs/>
                <w:color w:val="000000"/>
                <w:sz w:val="16"/>
                <w:szCs w:val="16"/>
                <w:u w:val="none"/>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13E87">
            <w:pPr>
              <w:jc w:val="center"/>
              <w:rPr>
                <w:rFonts w:hint="eastAsia" w:ascii="微软雅黑" w:hAnsi="微软雅黑" w:eastAsia="微软雅黑" w:cs="微软雅黑"/>
                <w:i/>
                <w:iCs/>
                <w:color w:val="000000"/>
                <w:sz w:val="16"/>
                <w:szCs w:val="16"/>
                <w:u w:val="none"/>
              </w:rPr>
            </w:pPr>
          </w:p>
        </w:tc>
        <w:tc>
          <w:tcPr>
            <w:tcW w:w="19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D8DB4F">
            <w:pPr>
              <w:jc w:val="center"/>
              <w:rPr>
                <w:rFonts w:hint="eastAsia" w:ascii="微软雅黑" w:hAnsi="微软雅黑" w:eastAsia="微软雅黑" w:cs="微软雅黑"/>
                <w:i/>
                <w:iCs/>
                <w:color w:val="000000"/>
                <w:sz w:val="16"/>
                <w:szCs w:val="16"/>
                <w:u w:val="none"/>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09E6F">
            <w:pPr>
              <w:jc w:val="center"/>
              <w:rPr>
                <w:rFonts w:hint="eastAsia" w:ascii="微软雅黑" w:hAnsi="微软雅黑" w:eastAsia="微软雅黑" w:cs="微软雅黑"/>
                <w:i/>
                <w:iCs/>
                <w:color w:val="000000"/>
                <w:sz w:val="16"/>
                <w:szCs w:val="16"/>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767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742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B99352">
            <w:pPr>
              <w:rPr>
                <w:rFonts w:hint="eastAsia" w:ascii="黑体" w:hAnsi="黑体" w:eastAsia="黑体" w:cs="黑体"/>
                <w:i/>
                <w:iCs/>
                <w:color w:val="000000"/>
                <w:sz w:val="18"/>
                <w:szCs w:val="18"/>
                <w:u w:val="none"/>
              </w:rPr>
            </w:pPr>
          </w:p>
        </w:tc>
      </w:tr>
      <w:tr w14:paraId="72E0E3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9" w:hRule="atLeast"/>
        </w:trPr>
        <w:tc>
          <w:tcPr>
            <w:tcW w:w="18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C2FF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950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39D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FF4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6D4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042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108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528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126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434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7E3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13C3A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F87870">
            <w:pPr>
              <w:jc w:val="center"/>
              <w:rPr>
                <w:rFonts w:hint="eastAsia" w:ascii="宋体" w:hAnsi="宋体" w:eastAsia="宋体" w:cs="宋体"/>
                <w:i w:val="0"/>
                <w:iCs w:val="0"/>
                <w:color w:val="000000"/>
                <w:sz w:val="18"/>
                <w:szCs w:val="18"/>
                <w:u w:val="none"/>
              </w:rPr>
            </w:pPr>
          </w:p>
        </w:tc>
        <w:tc>
          <w:tcPr>
            <w:tcW w:w="10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39EC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36D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79C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八庙镇双庙村驻村人员人数</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DDB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8E7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B20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08C38">
            <w:pPr>
              <w:jc w:val="center"/>
              <w:rPr>
                <w:rFonts w:hint="eastAsia" w:ascii="微软雅黑" w:hAnsi="微软雅黑" w:eastAsia="微软雅黑" w:cs="微软雅黑"/>
                <w:i/>
                <w:iCs/>
                <w:color w:val="000000"/>
                <w:sz w:val="16"/>
                <w:szCs w:val="16"/>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089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D8B08">
            <w:pPr>
              <w:jc w:val="center"/>
              <w:rPr>
                <w:rFonts w:hint="eastAsia" w:ascii="宋体" w:hAnsi="宋体" w:eastAsia="宋体" w:cs="宋体"/>
                <w:i w:val="0"/>
                <w:iCs w:val="0"/>
                <w:color w:val="000000"/>
                <w:sz w:val="18"/>
                <w:szCs w:val="18"/>
                <w:u w:val="none"/>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53CE5">
            <w:pPr>
              <w:jc w:val="center"/>
              <w:rPr>
                <w:rFonts w:hint="eastAsia" w:ascii="微软雅黑" w:hAnsi="微软雅黑" w:eastAsia="微软雅黑" w:cs="微软雅黑"/>
                <w:i/>
                <w:iCs/>
                <w:color w:val="000000"/>
                <w:sz w:val="16"/>
                <w:szCs w:val="16"/>
                <w:u w:val="none"/>
              </w:rPr>
            </w:pPr>
          </w:p>
        </w:tc>
      </w:tr>
      <w:tr w14:paraId="38F26B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A9A44F">
            <w:pPr>
              <w:jc w:val="center"/>
              <w:rPr>
                <w:rFonts w:hint="eastAsia" w:ascii="宋体" w:hAnsi="宋体" w:eastAsia="宋体" w:cs="宋体"/>
                <w:i w:val="0"/>
                <w:iCs w:val="0"/>
                <w:color w:val="000000"/>
                <w:sz w:val="18"/>
                <w:szCs w:val="18"/>
                <w:u w:val="none"/>
              </w:rPr>
            </w:pPr>
          </w:p>
        </w:tc>
        <w:tc>
          <w:tcPr>
            <w:tcW w:w="10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C7D6C8">
            <w:pPr>
              <w:jc w:val="center"/>
              <w:rPr>
                <w:rFonts w:hint="eastAsia" w:ascii="宋体" w:hAnsi="宋体" w:eastAsia="宋体" w:cs="宋体"/>
                <w:i w:val="0"/>
                <w:iCs w:val="0"/>
                <w:color w:val="000000"/>
                <w:sz w:val="18"/>
                <w:szCs w:val="18"/>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718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84B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持续巩固脱贫成效</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823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953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C06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F08A1">
            <w:pPr>
              <w:jc w:val="center"/>
              <w:rPr>
                <w:rFonts w:hint="eastAsia" w:ascii="微软雅黑" w:hAnsi="微软雅黑" w:eastAsia="微软雅黑" w:cs="微软雅黑"/>
                <w:i/>
                <w:iCs/>
                <w:color w:val="000000"/>
                <w:sz w:val="16"/>
                <w:szCs w:val="16"/>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39B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AAA2A">
            <w:pPr>
              <w:jc w:val="center"/>
              <w:rPr>
                <w:rFonts w:hint="eastAsia" w:ascii="宋体" w:hAnsi="宋体" w:eastAsia="宋体" w:cs="宋体"/>
                <w:i w:val="0"/>
                <w:iCs w:val="0"/>
                <w:color w:val="000000"/>
                <w:sz w:val="18"/>
                <w:szCs w:val="18"/>
                <w:u w:val="none"/>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25879">
            <w:pPr>
              <w:jc w:val="center"/>
              <w:rPr>
                <w:rFonts w:hint="eastAsia" w:ascii="微软雅黑" w:hAnsi="微软雅黑" w:eastAsia="微软雅黑" w:cs="微软雅黑"/>
                <w:i/>
                <w:iCs/>
                <w:color w:val="000000"/>
                <w:sz w:val="16"/>
                <w:szCs w:val="16"/>
                <w:u w:val="none"/>
              </w:rPr>
            </w:pPr>
          </w:p>
        </w:tc>
      </w:tr>
      <w:tr w14:paraId="29502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77C007">
            <w:pPr>
              <w:jc w:val="center"/>
              <w:rPr>
                <w:rFonts w:hint="eastAsia" w:ascii="宋体" w:hAnsi="宋体" w:eastAsia="宋体" w:cs="宋体"/>
                <w:i w:val="0"/>
                <w:iCs w:val="0"/>
                <w:color w:val="000000"/>
                <w:sz w:val="18"/>
                <w:szCs w:val="18"/>
                <w:u w:val="none"/>
              </w:rPr>
            </w:pPr>
          </w:p>
        </w:tc>
        <w:tc>
          <w:tcPr>
            <w:tcW w:w="10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0AE112">
            <w:pPr>
              <w:jc w:val="center"/>
              <w:rPr>
                <w:rFonts w:hint="eastAsia" w:ascii="宋体" w:hAnsi="宋体" w:eastAsia="宋体" w:cs="宋体"/>
                <w:i w:val="0"/>
                <w:iCs w:val="0"/>
                <w:color w:val="000000"/>
                <w:sz w:val="18"/>
                <w:szCs w:val="18"/>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C33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288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驻村工作完成时间</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DDF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63E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8E6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BC275">
            <w:pPr>
              <w:jc w:val="center"/>
              <w:rPr>
                <w:rFonts w:hint="eastAsia" w:ascii="微软雅黑" w:hAnsi="微软雅黑" w:eastAsia="微软雅黑" w:cs="微软雅黑"/>
                <w:i/>
                <w:iCs/>
                <w:color w:val="000000"/>
                <w:sz w:val="16"/>
                <w:szCs w:val="16"/>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98F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1F8F6">
            <w:pPr>
              <w:jc w:val="center"/>
              <w:rPr>
                <w:rFonts w:hint="eastAsia" w:ascii="宋体" w:hAnsi="宋体" w:eastAsia="宋体" w:cs="宋体"/>
                <w:i w:val="0"/>
                <w:iCs w:val="0"/>
                <w:color w:val="000000"/>
                <w:sz w:val="18"/>
                <w:szCs w:val="18"/>
                <w:u w:val="none"/>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7C146">
            <w:pPr>
              <w:jc w:val="center"/>
              <w:rPr>
                <w:rFonts w:hint="eastAsia" w:ascii="微软雅黑" w:hAnsi="微软雅黑" w:eastAsia="微软雅黑" w:cs="微软雅黑"/>
                <w:i/>
                <w:iCs/>
                <w:color w:val="000000"/>
                <w:sz w:val="16"/>
                <w:szCs w:val="16"/>
                <w:u w:val="none"/>
              </w:rPr>
            </w:pPr>
          </w:p>
        </w:tc>
      </w:tr>
      <w:tr w14:paraId="759536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D30B1B">
            <w:pPr>
              <w:jc w:val="center"/>
              <w:rPr>
                <w:rFonts w:hint="eastAsia" w:ascii="宋体" w:hAnsi="宋体" w:eastAsia="宋体" w:cs="宋体"/>
                <w:i w:val="0"/>
                <w:iCs w:val="0"/>
                <w:color w:val="000000"/>
                <w:sz w:val="18"/>
                <w:szCs w:val="18"/>
                <w:u w:val="none"/>
              </w:rPr>
            </w:pPr>
          </w:p>
        </w:tc>
        <w:tc>
          <w:tcPr>
            <w:tcW w:w="10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76F7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898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1A5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巩固脱贫，助力乡村振兴发展</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C95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CAD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916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D7264">
            <w:pPr>
              <w:jc w:val="center"/>
              <w:rPr>
                <w:rFonts w:hint="eastAsia" w:ascii="微软雅黑" w:hAnsi="微软雅黑" w:eastAsia="微软雅黑" w:cs="微软雅黑"/>
                <w:i/>
                <w:iCs/>
                <w:color w:val="000000"/>
                <w:sz w:val="16"/>
                <w:szCs w:val="16"/>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7A8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52BEB">
            <w:pPr>
              <w:jc w:val="center"/>
              <w:rPr>
                <w:rFonts w:hint="eastAsia" w:ascii="宋体" w:hAnsi="宋体" w:eastAsia="宋体" w:cs="宋体"/>
                <w:i w:val="0"/>
                <w:iCs w:val="0"/>
                <w:color w:val="000000"/>
                <w:sz w:val="18"/>
                <w:szCs w:val="18"/>
                <w:u w:val="none"/>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2A0D1">
            <w:pPr>
              <w:jc w:val="center"/>
              <w:rPr>
                <w:rFonts w:hint="eastAsia" w:ascii="微软雅黑" w:hAnsi="微软雅黑" w:eastAsia="微软雅黑" w:cs="微软雅黑"/>
                <w:i/>
                <w:iCs/>
                <w:color w:val="000000"/>
                <w:sz w:val="16"/>
                <w:szCs w:val="16"/>
                <w:u w:val="none"/>
              </w:rPr>
            </w:pPr>
          </w:p>
        </w:tc>
      </w:tr>
      <w:tr w14:paraId="0F6E9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6" w:hRule="atLeast"/>
        </w:trPr>
        <w:tc>
          <w:tcPr>
            <w:tcW w:w="1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767505">
            <w:pPr>
              <w:jc w:val="center"/>
              <w:rPr>
                <w:rFonts w:hint="eastAsia" w:ascii="宋体" w:hAnsi="宋体" w:eastAsia="宋体" w:cs="宋体"/>
                <w:i w:val="0"/>
                <w:iCs w:val="0"/>
                <w:color w:val="000000"/>
                <w:sz w:val="18"/>
                <w:szCs w:val="18"/>
                <w:u w:val="none"/>
              </w:rPr>
            </w:pPr>
          </w:p>
        </w:tc>
        <w:tc>
          <w:tcPr>
            <w:tcW w:w="10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667CC6">
            <w:pPr>
              <w:jc w:val="center"/>
              <w:rPr>
                <w:rFonts w:hint="eastAsia" w:ascii="宋体" w:hAnsi="宋体" w:eastAsia="宋体" w:cs="宋体"/>
                <w:i w:val="0"/>
                <w:iCs w:val="0"/>
                <w:color w:val="000000"/>
                <w:sz w:val="18"/>
                <w:szCs w:val="18"/>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5B0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可持续影响指标</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C90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发展种养殖业，提高农户生产经营性收入</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86F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EE0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DE0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5DDB3">
            <w:pPr>
              <w:jc w:val="center"/>
              <w:rPr>
                <w:rFonts w:hint="eastAsia" w:ascii="微软雅黑" w:hAnsi="微软雅黑" w:eastAsia="微软雅黑" w:cs="微软雅黑"/>
                <w:i/>
                <w:iCs/>
                <w:color w:val="000000"/>
                <w:sz w:val="16"/>
                <w:szCs w:val="16"/>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706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0A7BD">
            <w:pPr>
              <w:jc w:val="center"/>
              <w:rPr>
                <w:rFonts w:hint="eastAsia" w:ascii="宋体" w:hAnsi="宋体" w:eastAsia="宋体" w:cs="宋体"/>
                <w:i w:val="0"/>
                <w:iCs w:val="0"/>
                <w:color w:val="000000"/>
                <w:sz w:val="18"/>
                <w:szCs w:val="18"/>
                <w:u w:val="none"/>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EA322">
            <w:pPr>
              <w:jc w:val="center"/>
              <w:rPr>
                <w:rFonts w:hint="eastAsia" w:ascii="微软雅黑" w:hAnsi="微软雅黑" w:eastAsia="微软雅黑" w:cs="微软雅黑"/>
                <w:i/>
                <w:iCs/>
                <w:color w:val="000000"/>
                <w:sz w:val="16"/>
                <w:szCs w:val="16"/>
                <w:u w:val="none"/>
              </w:rPr>
            </w:pPr>
          </w:p>
        </w:tc>
      </w:tr>
      <w:tr w14:paraId="0D5D02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CDDAA6">
            <w:pPr>
              <w:jc w:val="center"/>
              <w:rPr>
                <w:rFonts w:hint="eastAsia" w:ascii="宋体" w:hAnsi="宋体" w:eastAsia="宋体" w:cs="宋体"/>
                <w:i w:val="0"/>
                <w:iCs w:val="0"/>
                <w:color w:val="000000"/>
                <w:sz w:val="18"/>
                <w:szCs w:val="18"/>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0D5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1BE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A43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双庙村村民满意度</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220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FD5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D15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D1CEC">
            <w:pPr>
              <w:jc w:val="center"/>
              <w:rPr>
                <w:rFonts w:hint="eastAsia" w:ascii="微软雅黑" w:hAnsi="微软雅黑" w:eastAsia="微软雅黑" w:cs="微软雅黑"/>
                <w:i/>
                <w:iCs/>
                <w:color w:val="000000"/>
                <w:sz w:val="16"/>
                <w:szCs w:val="16"/>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89C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C5098">
            <w:pPr>
              <w:jc w:val="center"/>
              <w:rPr>
                <w:rFonts w:hint="eastAsia" w:ascii="宋体" w:hAnsi="宋体" w:eastAsia="宋体" w:cs="宋体"/>
                <w:i w:val="0"/>
                <w:iCs w:val="0"/>
                <w:color w:val="000000"/>
                <w:sz w:val="18"/>
                <w:szCs w:val="18"/>
                <w:u w:val="none"/>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D8920">
            <w:pPr>
              <w:jc w:val="center"/>
              <w:rPr>
                <w:rFonts w:hint="eastAsia" w:ascii="微软雅黑" w:hAnsi="微软雅黑" w:eastAsia="微软雅黑" w:cs="微软雅黑"/>
                <w:i/>
                <w:iCs/>
                <w:color w:val="000000"/>
                <w:sz w:val="16"/>
                <w:szCs w:val="16"/>
                <w:u w:val="none"/>
              </w:rPr>
            </w:pPr>
          </w:p>
        </w:tc>
      </w:tr>
      <w:tr w14:paraId="559CE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6" w:hRule="atLeast"/>
        </w:trPr>
        <w:tc>
          <w:tcPr>
            <w:tcW w:w="1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9F6ACD">
            <w:pPr>
              <w:jc w:val="center"/>
              <w:rPr>
                <w:rFonts w:hint="eastAsia" w:ascii="宋体" w:hAnsi="宋体" w:eastAsia="宋体" w:cs="宋体"/>
                <w:i w:val="0"/>
                <w:iCs w:val="0"/>
                <w:color w:val="000000"/>
                <w:sz w:val="18"/>
                <w:szCs w:val="18"/>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A79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44B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F20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驻村工作经费</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51D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973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363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元/年</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36EAC">
            <w:pPr>
              <w:jc w:val="center"/>
              <w:rPr>
                <w:rFonts w:hint="eastAsia" w:ascii="微软雅黑" w:hAnsi="微软雅黑" w:eastAsia="微软雅黑" w:cs="微软雅黑"/>
                <w:i/>
                <w:iCs/>
                <w:color w:val="000000"/>
                <w:sz w:val="16"/>
                <w:szCs w:val="16"/>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35C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C7344">
            <w:pPr>
              <w:jc w:val="center"/>
              <w:rPr>
                <w:rFonts w:hint="eastAsia" w:ascii="宋体" w:hAnsi="宋体" w:eastAsia="宋体" w:cs="宋体"/>
                <w:i w:val="0"/>
                <w:iCs w:val="0"/>
                <w:color w:val="000000"/>
                <w:sz w:val="18"/>
                <w:szCs w:val="18"/>
                <w:u w:val="none"/>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04F0C">
            <w:pPr>
              <w:jc w:val="center"/>
              <w:rPr>
                <w:rFonts w:hint="eastAsia" w:ascii="微软雅黑" w:hAnsi="微软雅黑" w:eastAsia="微软雅黑" w:cs="微软雅黑"/>
                <w:i/>
                <w:iCs/>
                <w:color w:val="000000"/>
                <w:sz w:val="16"/>
                <w:szCs w:val="16"/>
                <w:u w:val="none"/>
              </w:rPr>
            </w:pPr>
          </w:p>
        </w:tc>
      </w:tr>
      <w:tr w14:paraId="3F373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828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AE6BF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C21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93511">
            <w:pPr>
              <w:rPr>
                <w:rFonts w:hint="eastAsia" w:ascii="宋体" w:hAnsi="宋体" w:eastAsia="宋体" w:cs="宋体"/>
                <w:i w:val="0"/>
                <w:iCs w:val="0"/>
                <w:color w:val="000000"/>
                <w:sz w:val="18"/>
                <w:szCs w:val="18"/>
                <w:u w:val="none"/>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7DBDD">
            <w:pPr>
              <w:rPr>
                <w:rFonts w:hint="eastAsia" w:ascii="宋体" w:hAnsi="宋体" w:eastAsia="宋体" w:cs="宋体"/>
                <w:i w:val="0"/>
                <w:iCs w:val="0"/>
                <w:color w:val="000000"/>
                <w:sz w:val="18"/>
                <w:szCs w:val="18"/>
                <w:u w:val="none"/>
              </w:rPr>
            </w:pPr>
          </w:p>
        </w:tc>
      </w:tr>
      <w:tr w14:paraId="4B029C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CFD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82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DD5F8B9">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5ED9F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EB1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82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89CCF32">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13E02A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355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82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68562D0">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227DC8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58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FB0F4EF">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项目负责人：何俊杰</w:t>
            </w:r>
          </w:p>
        </w:tc>
        <w:tc>
          <w:tcPr>
            <w:tcW w:w="482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FC90657">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财务负责人：马林</w:t>
            </w:r>
          </w:p>
        </w:tc>
      </w:tr>
      <w:tr w14:paraId="6AE05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0691" w:type="dxa"/>
            <w:gridSpan w:val="11"/>
            <w:tcBorders>
              <w:top w:val="nil"/>
              <w:left w:val="nil"/>
              <w:bottom w:val="nil"/>
              <w:right w:val="nil"/>
            </w:tcBorders>
            <w:shd w:val="clear" w:color="auto" w:fill="auto"/>
            <w:vAlign w:val="center"/>
          </w:tcPr>
          <w:p w14:paraId="49A6799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1、报表说明:该报表查询项目信息、绩效目标信息、预算及执行情况，用于预算单位查询导出开展项目自评。</w:t>
            </w:r>
          </w:p>
        </w:tc>
      </w:tr>
      <w:tr w14:paraId="42D75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5" w:hRule="atLeast"/>
        </w:trPr>
        <w:tc>
          <w:tcPr>
            <w:tcW w:w="10691" w:type="dxa"/>
            <w:gridSpan w:val="11"/>
            <w:tcBorders>
              <w:top w:val="nil"/>
              <w:left w:val="nil"/>
              <w:bottom w:val="nil"/>
              <w:right w:val="nil"/>
            </w:tcBorders>
            <w:shd w:val="clear" w:color="auto" w:fill="auto"/>
            <w:vAlign w:val="center"/>
          </w:tcPr>
          <w:p w14:paraId="13BB93D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2、取数口径：部门项目绩效目标表信息，包括年初预算、追加预算、结转预算和调整预算的绩效目标（以项目的最终绩效目标为准）。</w:t>
            </w:r>
          </w:p>
        </w:tc>
      </w:tr>
      <w:tr w14:paraId="7D356E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0691" w:type="dxa"/>
            <w:gridSpan w:val="11"/>
            <w:tcBorders>
              <w:top w:val="nil"/>
              <w:left w:val="nil"/>
              <w:bottom w:val="nil"/>
              <w:right w:val="nil"/>
            </w:tcBorders>
            <w:shd w:val="clear" w:color="auto" w:fill="auto"/>
            <w:vAlign w:val="center"/>
          </w:tcPr>
          <w:p w14:paraId="7FF30FD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适用地区：全省范围</w:t>
            </w:r>
          </w:p>
        </w:tc>
      </w:tr>
      <w:tr w14:paraId="71768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10691" w:type="dxa"/>
            <w:gridSpan w:val="11"/>
            <w:tcBorders>
              <w:top w:val="nil"/>
              <w:left w:val="nil"/>
              <w:bottom w:val="nil"/>
              <w:right w:val="nil"/>
            </w:tcBorders>
            <w:shd w:val="clear" w:color="auto" w:fill="auto"/>
            <w:vAlign w:val="center"/>
          </w:tcPr>
          <w:p w14:paraId="24C53C1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适用用户：部门用户、单位用户</w:t>
            </w:r>
          </w:p>
        </w:tc>
      </w:tr>
    </w:tbl>
    <w:p w14:paraId="109AE908">
      <w:pPr>
        <w:pStyle w:val="2"/>
        <w:spacing w:before="93"/>
        <w:jc w:val="both"/>
        <w:rPr>
          <w:rFonts w:hint="eastAsia" w:ascii="黑体" w:hAnsi="黑体" w:eastAsia="黑体"/>
          <w:sz w:val="44"/>
          <w:szCs w:val="44"/>
        </w:rPr>
      </w:pPr>
      <w:bookmarkStart w:id="54" w:name="_Toc15396618"/>
    </w:p>
    <w:p w14:paraId="2F72775F">
      <w:pPr>
        <w:pStyle w:val="2"/>
        <w:spacing w:before="93"/>
        <w:jc w:val="center"/>
        <w:rPr>
          <w:rFonts w:ascii="仿宋" w:hAnsi="仿宋" w:eastAsia="仿宋"/>
        </w:rPr>
      </w:pPr>
      <w:r>
        <w:rPr>
          <w:rFonts w:hint="eastAsia" w:ascii="黑体" w:hAnsi="黑体" w:eastAsia="黑体"/>
          <w:sz w:val="44"/>
          <w:szCs w:val="44"/>
        </w:rPr>
        <w:t>第</w:t>
      </w:r>
      <w:r>
        <w:rPr>
          <w:rStyle w:val="28"/>
          <w:rFonts w:hint="eastAsia" w:ascii="黑体" w:hAnsi="黑体" w:eastAsia="黑体"/>
          <w:b w:val="0"/>
        </w:rPr>
        <w:t>五部分 附表</w:t>
      </w:r>
      <w:bookmarkEnd w:id="52"/>
      <w:bookmarkEnd w:id="54"/>
      <w:bookmarkStart w:id="55" w:name="_Toc15396619"/>
    </w:p>
    <w:p w14:paraId="1D1404EB">
      <w:pPr>
        <w:pStyle w:val="4"/>
        <w:rPr>
          <w:rFonts w:hint="eastAsia" w:ascii="仿宋_GB2312" w:hAnsi="仿宋_GB2312" w:eastAsia="仿宋_GB2312" w:cs="仿宋_GB2312"/>
        </w:rPr>
      </w:pPr>
      <w:r>
        <w:rPr>
          <w:rFonts w:hint="eastAsia" w:ascii="仿宋_GB2312" w:hAnsi="仿宋_GB2312" w:eastAsia="仿宋_GB2312" w:cs="仿宋_GB2312"/>
          <w:b w:val="0"/>
        </w:rPr>
        <w:t>一、收</w:t>
      </w:r>
      <w:r>
        <w:rPr>
          <w:rStyle w:val="29"/>
          <w:rFonts w:hint="eastAsia" w:ascii="仿宋_GB2312" w:hAnsi="仿宋_GB2312" w:eastAsia="仿宋_GB2312" w:cs="仿宋_GB2312"/>
          <w:b w:val="0"/>
          <w:bCs w:val="0"/>
        </w:rPr>
        <w:t>入支出决算总表</w:t>
      </w:r>
      <w:bookmarkEnd w:id="55"/>
    </w:p>
    <w:p w14:paraId="40C4EA02">
      <w:pPr>
        <w:pStyle w:val="4"/>
        <w:rPr>
          <w:rFonts w:hint="eastAsia" w:ascii="仿宋_GB2312" w:hAnsi="仿宋_GB2312" w:eastAsia="仿宋_GB2312" w:cs="仿宋_GB2312"/>
        </w:rPr>
      </w:pPr>
      <w:bookmarkStart w:id="56" w:name="_Toc15396620"/>
      <w:r>
        <w:rPr>
          <w:rFonts w:hint="eastAsia" w:ascii="仿宋_GB2312" w:hAnsi="仿宋_GB2312" w:eastAsia="仿宋_GB2312" w:cs="仿宋_GB2312"/>
          <w:b w:val="0"/>
        </w:rPr>
        <w:t>二、收</w:t>
      </w:r>
      <w:r>
        <w:rPr>
          <w:rStyle w:val="29"/>
          <w:rFonts w:hint="eastAsia" w:ascii="仿宋_GB2312" w:hAnsi="仿宋_GB2312" w:eastAsia="仿宋_GB2312" w:cs="仿宋_GB2312"/>
          <w:b w:val="0"/>
          <w:bCs w:val="0"/>
        </w:rPr>
        <w:t>入决算表</w:t>
      </w:r>
      <w:bookmarkEnd w:id="56"/>
    </w:p>
    <w:p w14:paraId="5851E8F6">
      <w:pPr>
        <w:pStyle w:val="4"/>
        <w:rPr>
          <w:rFonts w:hint="eastAsia" w:ascii="仿宋_GB2312" w:hAnsi="仿宋_GB2312" w:eastAsia="仿宋_GB2312" w:cs="仿宋_GB2312"/>
        </w:rPr>
      </w:pPr>
      <w:bookmarkStart w:id="57" w:name="_Toc15396621"/>
      <w:r>
        <w:rPr>
          <w:rStyle w:val="29"/>
          <w:rFonts w:hint="eastAsia" w:ascii="仿宋_GB2312" w:hAnsi="仿宋_GB2312" w:eastAsia="仿宋_GB2312" w:cs="仿宋_GB2312"/>
          <w:b w:val="0"/>
          <w:bCs w:val="0"/>
        </w:rPr>
        <w:t>三、</w:t>
      </w:r>
      <w:r>
        <w:rPr>
          <w:rFonts w:hint="eastAsia" w:ascii="仿宋_GB2312" w:hAnsi="仿宋_GB2312" w:eastAsia="仿宋_GB2312" w:cs="仿宋_GB2312"/>
          <w:b w:val="0"/>
        </w:rPr>
        <w:t>支</w:t>
      </w:r>
      <w:r>
        <w:rPr>
          <w:rStyle w:val="29"/>
          <w:rFonts w:hint="eastAsia" w:ascii="仿宋_GB2312" w:hAnsi="仿宋_GB2312" w:eastAsia="仿宋_GB2312" w:cs="仿宋_GB2312"/>
          <w:b w:val="0"/>
          <w:bCs w:val="0"/>
        </w:rPr>
        <w:t>出决算表</w:t>
      </w:r>
      <w:bookmarkEnd w:id="57"/>
    </w:p>
    <w:p w14:paraId="4B23AD8F">
      <w:pPr>
        <w:pStyle w:val="4"/>
        <w:rPr>
          <w:rFonts w:hint="eastAsia" w:ascii="仿宋_GB2312" w:hAnsi="仿宋_GB2312" w:eastAsia="仿宋_GB2312" w:cs="仿宋_GB2312"/>
          <w:b w:val="0"/>
        </w:rPr>
      </w:pPr>
      <w:bookmarkStart w:id="58" w:name="_Toc15396622"/>
      <w:r>
        <w:rPr>
          <w:rStyle w:val="29"/>
          <w:rFonts w:hint="eastAsia" w:ascii="仿宋_GB2312" w:hAnsi="仿宋_GB2312" w:eastAsia="仿宋_GB2312" w:cs="仿宋_GB2312"/>
          <w:b w:val="0"/>
          <w:bCs w:val="0"/>
        </w:rPr>
        <w:t>四、</w:t>
      </w:r>
      <w:r>
        <w:rPr>
          <w:rFonts w:hint="eastAsia" w:ascii="仿宋_GB2312" w:hAnsi="仿宋_GB2312" w:eastAsia="仿宋_GB2312" w:cs="仿宋_GB2312"/>
          <w:b w:val="0"/>
        </w:rPr>
        <w:t>财</w:t>
      </w:r>
      <w:r>
        <w:rPr>
          <w:rStyle w:val="29"/>
          <w:rFonts w:hint="eastAsia" w:ascii="仿宋_GB2312" w:hAnsi="仿宋_GB2312" w:eastAsia="仿宋_GB2312" w:cs="仿宋_GB2312"/>
          <w:b w:val="0"/>
          <w:bCs w:val="0"/>
        </w:rPr>
        <w:t>政拨款收入支出决算总表</w:t>
      </w:r>
      <w:bookmarkEnd w:id="58"/>
    </w:p>
    <w:p w14:paraId="282B649A">
      <w:pPr>
        <w:pStyle w:val="4"/>
        <w:rPr>
          <w:rStyle w:val="29"/>
          <w:rFonts w:hint="eastAsia" w:ascii="仿宋_GB2312" w:hAnsi="仿宋_GB2312" w:eastAsia="仿宋_GB2312" w:cs="仿宋_GB2312"/>
          <w:b w:val="0"/>
          <w:bCs w:val="0"/>
        </w:rPr>
      </w:pPr>
      <w:bookmarkStart w:id="59" w:name="_Toc15396623"/>
      <w:r>
        <w:rPr>
          <w:rStyle w:val="29"/>
          <w:rFonts w:hint="eastAsia" w:ascii="仿宋_GB2312" w:hAnsi="仿宋_GB2312" w:eastAsia="仿宋_GB2312" w:cs="仿宋_GB2312"/>
          <w:b w:val="0"/>
          <w:bCs w:val="0"/>
        </w:rPr>
        <w:t>五、</w:t>
      </w:r>
      <w:r>
        <w:rPr>
          <w:rFonts w:hint="eastAsia" w:ascii="仿宋_GB2312" w:hAnsi="仿宋_GB2312" w:eastAsia="仿宋_GB2312" w:cs="仿宋_GB2312"/>
          <w:b w:val="0"/>
        </w:rPr>
        <w:t>财</w:t>
      </w:r>
      <w:r>
        <w:rPr>
          <w:rStyle w:val="29"/>
          <w:rFonts w:hint="eastAsia" w:ascii="仿宋_GB2312" w:hAnsi="仿宋_GB2312" w:eastAsia="仿宋_GB2312" w:cs="仿宋_GB2312"/>
          <w:b w:val="0"/>
          <w:bCs w:val="0"/>
        </w:rPr>
        <w:t>政拨款支出决算明细表</w:t>
      </w:r>
      <w:bookmarkEnd w:id="59"/>
      <w:bookmarkStart w:id="60" w:name="_Toc15396624"/>
    </w:p>
    <w:p w14:paraId="0CA4C290">
      <w:pPr>
        <w:pStyle w:val="4"/>
        <w:rPr>
          <w:rFonts w:hint="eastAsia" w:ascii="仿宋_GB2312" w:hAnsi="仿宋_GB2312" w:eastAsia="仿宋_GB2312" w:cs="仿宋_GB2312"/>
        </w:rPr>
      </w:pPr>
      <w:r>
        <w:rPr>
          <w:rStyle w:val="29"/>
          <w:rFonts w:hint="eastAsia" w:ascii="仿宋_GB2312" w:hAnsi="仿宋_GB2312" w:eastAsia="仿宋_GB2312" w:cs="仿宋_GB2312"/>
          <w:b w:val="0"/>
          <w:bCs w:val="0"/>
        </w:rPr>
        <w:t>六、</w:t>
      </w:r>
      <w:r>
        <w:rPr>
          <w:rFonts w:hint="eastAsia" w:ascii="仿宋_GB2312" w:hAnsi="仿宋_GB2312" w:eastAsia="仿宋_GB2312" w:cs="仿宋_GB2312"/>
          <w:b w:val="0"/>
        </w:rPr>
        <w:t>一</w:t>
      </w:r>
      <w:r>
        <w:rPr>
          <w:rStyle w:val="29"/>
          <w:rFonts w:hint="eastAsia" w:ascii="仿宋_GB2312" w:hAnsi="仿宋_GB2312" w:eastAsia="仿宋_GB2312" w:cs="仿宋_GB2312"/>
          <w:b w:val="0"/>
          <w:bCs w:val="0"/>
        </w:rPr>
        <w:t>般公共预算财政拨款支出决算表</w:t>
      </w:r>
      <w:bookmarkEnd w:id="60"/>
    </w:p>
    <w:p w14:paraId="6A46E605">
      <w:pPr>
        <w:pStyle w:val="4"/>
        <w:rPr>
          <w:rFonts w:hint="eastAsia" w:ascii="仿宋_GB2312" w:hAnsi="仿宋_GB2312" w:eastAsia="仿宋_GB2312" w:cs="仿宋_GB2312"/>
        </w:rPr>
      </w:pPr>
      <w:bookmarkStart w:id="61" w:name="_Toc15396625"/>
      <w:r>
        <w:rPr>
          <w:rStyle w:val="29"/>
          <w:rFonts w:hint="eastAsia" w:ascii="仿宋_GB2312" w:hAnsi="仿宋_GB2312" w:eastAsia="仿宋_GB2312" w:cs="仿宋_GB2312"/>
          <w:b w:val="0"/>
          <w:bCs w:val="0"/>
        </w:rPr>
        <w:t>七、</w:t>
      </w:r>
      <w:r>
        <w:rPr>
          <w:rFonts w:hint="eastAsia" w:ascii="仿宋_GB2312" w:hAnsi="仿宋_GB2312" w:eastAsia="仿宋_GB2312" w:cs="仿宋_GB2312"/>
          <w:b w:val="0"/>
        </w:rPr>
        <w:t>一</w:t>
      </w:r>
      <w:r>
        <w:rPr>
          <w:rStyle w:val="29"/>
          <w:rFonts w:hint="eastAsia" w:ascii="仿宋_GB2312" w:hAnsi="仿宋_GB2312" w:eastAsia="仿宋_GB2312" w:cs="仿宋_GB2312"/>
          <w:b w:val="0"/>
          <w:bCs w:val="0"/>
        </w:rPr>
        <w:t>般公共预算财政拨款支出决算明细表</w:t>
      </w:r>
      <w:bookmarkEnd w:id="61"/>
    </w:p>
    <w:p w14:paraId="7CFB3738">
      <w:pPr>
        <w:pStyle w:val="4"/>
        <w:rPr>
          <w:rFonts w:hint="eastAsia" w:ascii="仿宋_GB2312" w:hAnsi="仿宋_GB2312" w:eastAsia="仿宋_GB2312" w:cs="仿宋_GB2312"/>
        </w:rPr>
      </w:pPr>
      <w:bookmarkStart w:id="62" w:name="_Toc15396626"/>
      <w:r>
        <w:rPr>
          <w:rStyle w:val="29"/>
          <w:rFonts w:hint="eastAsia" w:ascii="仿宋_GB2312" w:hAnsi="仿宋_GB2312" w:eastAsia="仿宋_GB2312" w:cs="仿宋_GB2312"/>
          <w:b w:val="0"/>
          <w:bCs w:val="0"/>
        </w:rPr>
        <w:t>八、</w:t>
      </w:r>
      <w:r>
        <w:rPr>
          <w:rFonts w:hint="eastAsia" w:ascii="仿宋_GB2312" w:hAnsi="仿宋_GB2312" w:eastAsia="仿宋_GB2312" w:cs="仿宋_GB2312"/>
          <w:b w:val="0"/>
        </w:rPr>
        <w:t>一</w:t>
      </w:r>
      <w:r>
        <w:rPr>
          <w:rStyle w:val="29"/>
          <w:rFonts w:hint="eastAsia" w:ascii="仿宋_GB2312" w:hAnsi="仿宋_GB2312" w:eastAsia="仿宋_GB2312" w:cs="仿宋_GB2312"/>
          <w:b w:val="0"/>
          <w:bCs w:val="0"/>
        </w:rPr>
        <w:t>般公共预算财政拨款基本支出决算表</w:t>
      </w:r>
      <w:bookmarkEnd w:id="62"/>
    </w:p>
    <w:p w14:paraId="22328EC7">
      <w:pPr>
        <w:pStyle w:val="4"/>
        <w:rPr>
          <w:rFonts w:hint="eastAsia" w:ascii="仿宋_GB2312" w:hAnsi="仿宋_GB2312" w:eastAsia="仿宋_GB2312" w:cs="仿宋_GB2312"/>
        </w:rPr>
      </w:pPr>
      <w:bookmarkStart w:id="63" w:name="_Toc15396627"/>
      <w:r>
        <w:rPr>
          <w:rStyle w:val="29"/>
          <w:rFonts w:hint="eastAsia" w:ascii="仿宋_GB2312" w:hAnsi="仿宋_GB2312" w:eastAsia="仿宋_GB2312" w:cs="仿宋_GB2312"/>
          <w:b w:val="0"/>
          <w:bCs w:val="0"/>
        </w:rPr>
        <w:t>九、</w:t>
      </w:r>
      <w:r>
        <w:rPr>
          <w:rFonts w:hint="eastAsia" w:ascii="仿宋_GB2312" w:hAnsi="仿宋_GB2312" w:eastAsia="仿宋_GB2312" w:cs="仿宋_GB2312"/>
          <w:b w:val="0"/>
        </w:rPr>
        <w:t>一</w:t>
      </w:r>
      <w:r>
        <w:rPr>
          <w:rStyle w:val="29"/>
          <w:rFonts w:hint="eastAsia" w:ascii="仿宋_GB2312" w:hAnsi="仿宋_GB2312" w:eastAsia="仿宋_GB2312" w:cs="仿宋_GB2312"/>
          <w:b w:val="0"/>
          <w:bCs w:val="0"/>
        </w:rPr>
        <w:t>般公共预算财政拨款项目支出决算表</w:t>
      </w:r>
      <w:bookmarkEnd w:id="63"/>
    </w:p>
    <w:p w14:paraId="22063780">
      <w:pPr>
        <w:pStyle w:val="4"/>
        <w:rPr>
          <w:rFonts w:hint="eastAsia" w:ascii="仿宋_GB2312" w:hAnsi="仿宋_GB2312" w:eastAsia="仿宋_GB2312" w:cs="仿宋_GB2312"/>
        </w:rPr>
      </w:pPr>
      <w:bookmarkStart w:id="64" w:name="_Toc15396628"/>
      <w:r>
        <w:rPr>
          <w:rStyle w:val="29"/>
          <w:rFonts w:hint="eastAsia" w:ascii="仿宋_GB2312" w:hAnsi="仿宋_GB2312" w:eastAsia="仿宋_GB2312" w:cs="仿宋_GB2312"/>
          <w:b w:val="0"/>
          <w:bCs w:val="0"/>
        </w:rPr>
        <w:t>十、</w:t>
      </w:r>
      <w:bookmarkEnd w:id="64"/>
      <w:r>
        <w:rPr>
          <w:rFonts w:hint="eastAsia" w:ascii="仿宋_GB2312" w:hAnsi="仿宋_GB2312" w:eastAsia="仿宋_GB2312" w:cs="仿宋_GB2312"/>
          <w:b w:val="0"/>
        </w:rPr>
        <w:t>政</w:t>
      </w:r>
      <w:r>
        <w:rPr>
          <w:rStyle w:val="29"/>
          <w:rFonts w:hint="eastAsia" w:ascii="仿宋_GB2312" w:hAnsi="仿宋_GB2312" w:eastAsia="仿宋_GB2312" w:cs="仿宋_GB2312"/>
          <w:b w:val="0"/>
          <w:bCs w:val="0"/>
        </w:rPr>
        <w:t>府性基金预算财政拨款收入支出决算表</w:t>
      </w:r>
    </w:p>
    <w:p w14:paraId="62EEBA26">
      <w:pPr>
        <w:pStyle w:val="4"/>
        <w:rPr>
          <w:rFonts w:hint="eastAsia" w:ascii="仿宋_GB2312" w:hAnsi="仿宋_GB2312" w:eastAsia="仿宋_GB2312" w:cs="仿宋_GB2312"/>
        </w:rPr>
      </w:pPr>
      <w:bookmarkStart w:id="65" w:name="_Toc15396629"/>
      <w:r>
        <w:rPr>
          <w:rStyle w:val="29"/>
          <w:rFonts w:hint="eastAsia" w:ascii="仿宋_GB2312" w:hAnsi="仿宋_GB2312" w:eastAsia="仿宋_GB2312" w:cs="仿宋_GB2312"/>
          <w:b w:val="0"/>
          <w:bCs w:val="0"/>
        </w:rPr>
        <w:t>十一、</w:t>
      </w:r>
      <w:bookmarkEnd w:id="65"/>
      <w:r>
        <w:rPr>
          <w:rFonts w:hint="eastAsia" w:ascii="仿宋_GB2312" w:hAnsi="仿宋_GB2312" w:eastAsia="仿宋_GB2312" w:cs="仿宋_GB2312"/>
          <w:b w:val="0"/>
        </w:rPr>
        <w:t>国</w:t>
      </w:r>
      <w:r>
        <w:rPr>
          <w:rStyle w:val="29"/>
          <w:rFonts w:hint="eastAsia" w:ascii="仿宋_GB2312" w:hAnsi="仿宋_GB2312" w:eastAsia="仿宋_GB2312" w:cs="仿宋_GB2312"/>
          <w:b w:val="0"/>
          <w:bCs w:val="0"/>
        </w:rPr>
        <w:t>有资本经营预算财政拨款收入支出决算表</w:t>
      </w:r>
    </w:p>
    <w:p w14:paraId="2225F6AE">
      <w:pPr>
        <w:pStyle w:val="4"/>
        <w:rPr>
          <w:rFonts w:hint="eastAsia" w:ascii="仿宋_GB2312" w:hAnsi="仿宋_GB2312" w:eastAsia="仿宋_GB2312" w:cs="仿宋_GB2312"/>
        </w:rPr>
      </w:pPr>
      <w:bookmarkStart w:id="66" w:name="_Toc15396630"/>
      <w:r>
        <w:rPr>
          <w:rStyle w:val="29"/>
          <w:rFonts w:hint="eastAsia" w:ascii="仿宋_GB2312" w:hAnsi="仿宋_GB2312" w:eastAsia="仿宋_GB2312" w:cs="仿宋_GB2312"/>
          <w:b w:val="0"/>
          <w:bCs w:val="0"/>
        </w:rPr>
        <w:t>十二、</w:t>
      </w:r>
      <w:bookmarkEnd w:id="66"/>
      <w:r>
        <w:rPr>
          <w:rStyle w:val="29"/>
          <w:rFonts w:hint="eastAsia" w:ascii="仿宋_GB2312" w:hAnsi="仿宋_GB2312" w:eastAsia="仿宋_GB2312" w:cs="仿宋_GB2312"/>
          <w:b w:val="0"/>
          <w:bCs w:val="0"/>
        </w:rPr>
        <w:t>国有资本经营预算财政拨款支出决算表</w:t>
      </w:r>
    </w:p>
    <w:p w14:paraId="4AE62AA1">
      <w:pPr>
        <w:pStyle w:val="4"/>
        <w:rPr>
          <w:rFonts w:hint="eastAsia" w:ascii="仿宋_GB2312" w:hAnsi="仿宋_GB2312" w:eastAsia="仿宋_GB2312" w:cs="仿宋_GB2312"/>
        </w:rPr>
      </w:pPr>
      <w:bookmarkStart w:id="67" w:name="_Toc15396631"/>
      <w:r>
        <w:rPr>
          <w:rStyle w:val="29"/>
          <w:rFonts w:hint="eastAsia" w:ascii="仿宋_GB2312" w:hAnsi="仿宋_GB2312" w:eastAsia="仿宋_GB2312" w:cs="仿宋_GB2312"/>
          <w:b w:val="0"/>
          <w:bCs w:val="0"/>
        </w:rPr>
        <w:t>十三、</w:t>
      </w:r>
      <w:bookmarkEnd w:id="67"/>
      <w:r>
        <w:rPr>
          <w:rStyle w:val="29"/>
          <w:rFonts w:hint="eastAsia" w:ascii="仿宋_GB2312" w:hAnsi="仿宋_GB2312" w:eastAsia="仿宋_GB2312" w:cs="仿宋_GB2312"/>
          <w:b w:val="0"/>
          <w:bCs w:val="0"/>
        </w:rPr>
        <w:t>财政拨款“三公”经费支出决算表</w:t>
      </w:r>
    </w:p>
    <w:sectPr>
      <w:footerReference r:id="rId5" w:type="first"/>
      <w:footerReference r:id="rId4" w:type="default"/>
      <w:pgSz w:w="11906" w:h="16838"/>
      <w:pgMar w:top="1440" w:right="1800" w:bottom="1440" w:left="1800" w:header="851" w:footer="992" w:gutter="0"/>
      <w:pgNumType w:fmt="numberInDash"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0" w:csb1="00000000"/>
  </w:font>
  <w:font w:name="方正仿宋简体">
    <w:altName w:val="微软雅黑"/>
    <w:panose1 w:val="02010601030101010101"/>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088072">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07F3FE">
                          <w:pPr>
                            <w:pStyle w:val="9"/>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  \* MERGEFORMAT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2</w:t>
                          </w:r>
                          <w:r>
                            <w:rPr>
                              <w:rFonts w:hint="eastAsia" w:ascii="宋体" w:hAnsi="宋体" w:eastAsia="宋体" w:cs="宋体"/>
                              <w:b/>
                              <w:bCs/>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7F07F3FE">
                    <w:pPr>
                      <w:pStyle w:val="9"/>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  \* MERGEFORMAT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2</w:t>
                    </w:r>
                    <w:r>
                      <w:rPr>
                        <w:rFonts w:hint="eastAsia" w:ascii="宋体" w:hAnsi="宋体" w:eastAsia="宋体" w:cs="宋体"/>
                        <w:b/>
                        <w:bCs/>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447463">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6871AA">
                          <w:pPr>
                            <w:pStyle w:val="9"/>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606871AA">
                    <w:pPr>
                      <w:pStyle w:val="9"/>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03CE4A">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mNzM5YjA2Mjk3ZGM5NTIxOWI4YWRiNjQwZDJjODI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C0D9D"/>
    <w:rsid w:val="001D7531"/>
    <w:rsid w:val="001E737D"/>
    <w:rsid w:val="001F0592"/>
    <w:rsid w:val="001F7506"/>
    <w:rsid w:val="002006CD"/>
    <w:rsid w:val="00202B36"/>
    <w:rsid w:val="00204B7A"/>
    <w:rsid w:val="00204CDE"/>
    <w:rsid w:val="0021101A"/>
    <w:rsid w:val="00220536"/>
    <w:rsid w:val="00235629"/>
    <w:rsid w:val="00236FD8"/>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1F21"/>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234C6"/>
    <w:rsid w:val="00E331A1"/>
    <w:rsid w:val="00E33202"/>
    <w:rsid w:val="00E336A9"/>
    <w:rsid w:val="00E472B1"/>
    <w:rsid w:val="00E50624"/>
    <w:rsid w:val="00E568DF"/>
    <w:rsid w:val="00E64269"/>
    <w:rsid w:val="00E77455"/>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1E3D92"/>
    <w:rsid w:val="015975B8"/>
    <w:rsid w:val="01DB7ED5"/>
    <w:rsid w:val="01FC6C3E"/>
    <w:rsid w:val="02143E91"/>
    <w:rsid w:val="023615AF"/>
    <w:rsid w:val="024617F2"/>
    <w:rsid w:val="02533AFB"/>
    <w:rsid w:val="027D680C"/>
    <w:rsid w:val="02A4494E"/>
    <w:rsid w:val="033E2A36"/>
    <w:rsid w:val="05205A10"/>
    <w:rsid w:val="05C707CB"/>
    <w:rsid w:val="06317676"/>
    <w:rsid w:val="066E0107"/>
    <w:rsid w:val="0746460C"/>
    <w:rsid w:val="07996F6E"/>
    <w:rsid w:val="07BC4E4B"/>
    <w:rsid w:val="09604D9F"/>
    <w:rsid w:val="09D73678"/>
    <w:rsid w:val="0A2032A3"/>
    <w:rsid w:val="0D2C3CDA"/>
    <w:rsid w:val="0D743CCE"/>
    <w:rsid w:val="0D7E5C4A"/>
    <w:rsid w:val="0D8A245E"/>
    <w:rsid w:val="0DFA7FB0"/>
    <w:rsid w:val="0EF63BD7"/>
    <w:rsid w:val="0F397C80"/>
    <w:rsid w:val="0F98263C"/>
    <w:rsid w:val="0FE6110A"/>
    <w:rsid w:val="101860EC"/>
    <w:rsid w:val="10C055FF"/>
    <w:rsid w:val="118107EC"/>
    <w:rsid w:val="124F38AB"/>
    <w:rsid w:val="12BA4DA0"/>
    <w:rsid w:val="131B7848"/>
    <w:rsid w:val="134742D6"/>
    <w:rsid w:val="13675A6C"/>
    <w:rsid w:val="13D50BC4"/>
    <w:rsid w:val="147F7C80"/>
    <w:rsid w:val="15D747B1"/>
    <w:rsid w:val="16BB723D"/>
    <w:rsid w:val="182855F1"/>
    <w:rsid w:val="18CB7D1D"/>
    <w:rsid w:val="18D06B39"/>
    <w:rsid w:val="19E8647D"/>
    <w:rsid w:val="1AA21AC2"/>
    <w:rsid w:val="1B1069E9"/>
    <w:rsid w:val="1B3A2CE5"/>
    <w:rsid w:val="1BE8440E"/>
    <w:rsid w:val="1C24274C"/>
    <w:rsid w:val="1C541275"/>
    <w:rsid w:val="1D155CEE"/>
    <w:rsid w:val="1E1F16FA"/>
    <w:rsid w:val="1ED347B8"/>
    <w:rsid w:val="1F88307C"/>
    <w:rsid w:val="1FF35744"/>
    <w:rsid w:val="2009699D"/>
    <w:rsid w:val="205E7DC0"/>
    <w:rsid w:val="20D02EA3"/>
    <w:rsid w:val="20E60EC8"/>
    <w:rsid w:val="217E5AC6"/>
    <w:rsid w:val="2198760A"/>
    <w:rsid w:val="21DE514B"/>
    <w:rsid w:val="225B638B"/>
    <w:rsid w:val="23860B96"/>
    <w:rsid w:val="23D3374E"/>
    <w:rsid w:val="240371BF"/>
    <w:rsid w:val="243E25E7"/>
    <w:rsid w:val="249B09A6"/>
    <w:rsid w:val="25850E1C"/>
    <w:rsid w:val="25B14925"/>
    <w:rsid w:val="25B329B2"/>
    <w:rsid w:val="26FA353F"/>
    <w:rsid w:val="27181674"/>
    <w:rsid w:val="271D4545"/>
    <w:rsid w:val="272C0707"/>
    <w:rsid w:val="28F039B6"/>
    <w:rsid w:val="29467212"/>
    <w:rsid w:val="29FD04D3"/>
    <w:rsid w:val="2AEC0CB5"/>
    <w:rsid w:val="2AF65773"/>
    <w:rsid w:val="2B581127"/>
    <w:rsid w:val="2C29125D"/>
    <w:rsid w:val="2C8A61B5"/>
    <w:rsid w:val="2CAE7E10"/>
    <w:rsid w:val="2DAF6534"/>
    <w:rsid w:val="2DF04E50"/>
    <w:rsid w:val="2E7B3D22"/>
    <w:rsid w:val="2E7B7D04"/>
    <w:rsid w:val="2F040D46"/>
    <w:rsid w:val="2FF72DA7"/>
    <w:rsid w:val="30DF2C8E"/>
    <w:rsid w:val="31440454"/>
    <w:rsid w:val="319F7F4E"/>
    <w:rsid w:val="31D521CB"/>
    <w:rsid w:val="31DE00F8"/>
    <w:rsid w:val="323D4D7D"/>
    <w:rsid w:val="32AC7DD6"/>
    <w:rsid w:val="32F14609"/>
    <w:rsid w:val="3304709D"/>
    <w:rsid w:val="33784CD4"/>
    <w:rsid w:val="36AA5135"/>
    <w:rsid w:val="36AD0C84"/>
    <w:rsid w:val="376D39B2"/>
    <w:rsid w:val="37E16F03"/>
    <w:rsid w:val="385352C4"/>
    <w:rsid w:val="38726EDD"/>
    <w:rsid w:val="38731134"/>
    <w:rsid w:val="38B11D63"/>
    <w:rsid w:val="38CC03EE"/>
    <w:rsid w:val="38D469F0"/>
    <w:rsid w:val="390D33D2"/>
    <w:rsid w:val="3A046503"/>
    <w:rsid w:val="3B1A14A3"/>
    <w:rsid w:val="3C24304D"/>
    <w:rsid w:val="3C3519B4"/>
    <w:rsid w:val="3C506122"/>
    <w:rsid w:val="3CA149B8"/>
    <w:rsid w:val="3D98207C"/>
    <w:rsid w:val="3E78745D"/>
    <w:rsid w:val="3EE67FD5"/>
    <w:rsid w:val="40061D9E"/>
    <w:rsid w:val="409633BB"/>
    <w:rsid w:val="40B41A41"/>
    <w:rsid w:val="40E9430D"/>
    <w:rsid w:val="426F4573"/>
    <w:rsid w:val="428B4A24"/>
    <w:rsid w:val="42E90063"/>
    <w:rsid w:val="43E26DC3"/>
    <w:rsid w:val="445F4788"/>
    <w:rsid w:val="44E268DA"/>
    <w:rsid w:val="46284E65"/>
    <w:rsid w:val="489406EB"/>
    <w:rsid w:val="4A627F82"/>
    <w:rsid w:val="4A881849"/>
    <w:rsid w:val="4B0E749A"/>
    <w:rsid w:val="4B4F25DA"/>
    <w:rsid w:val="4BE068DB"/>
    <w:rsid w:val="4C273674"/>
    <w:rsid w:val="4D577224"/>
    <w:rsid w:val="4D673998"/>
    <w:rsid w:val="4E1E674C"/>
    <w:rsid w:val="4EAB630A"/>
    <w:rsid w:val="4EBE7FA5"/>
    <w:rsid w:val="4ECE2238"/>
    <w:rsid w:val="50F04F55"/>
    <w:rsid w:val="51932FAD"/>
    <w:rsid w:val="523F3135"/>
    <w:rsid w:val="52762A77"/>
    <w:rsid w:val="52B54EBB"/>
    <w:rsid w:val="532126C4"/>
    <w:rsid w:val="537E6D0A"/>
    <w:rsid w:val="53C80FD0"/>
    <w:rsid w:val="53D53444"/>
    <w:rsid w:val="546F75B8"/>
    <w:rsid w:val="54971318"/>
    <w:rsid w:val="54A97A3D"/>
    <w:rsid w:val="54E87AB4"/>
    <w:rsid w:val="55FA3400"/>
    <w:rsid w:val="56694C24"/>
    <w:rsid w:val="576D7FE6"/>
    <w:rsid w:val="59367C16"/>
    <w:rsid w:val="5A647BDD"/>
    <w:rsid w:val="5AF7469F"/>
    <w:rsid w:val="5AF92295"/>
    <w:rsid w:val="5BA364E3"/>
    <w:rsid w:val="5BBC1352"/>
    <w:rsid w:val="5CB01856"/>
    <w:rsid w:val="5CD71FC4"/>
    <w:rsid w:val="5D0C2967"/>
    <w:rsid w:val="5E39312E"/>
    <w:rsid w:val="5EB10C74"/>
    <w:rsid w:val="5FC70A3F"/>
    <w:rsid w:val="601B12D0"/>
    <w:rsid w:val="60266FF4"/>
    <w:rsid w:val="603D3188"/>
    <w:rsid w:val="605945F1"/>
    <w:rsid w:val="61882C41"/>
    <w:rsid w:val="621F43E9"/>
    <w:rsid w:val="63054BA4"/>
    <w:rsid w:val="631E315D"/>
    <w:rsid w:val="63566F45"/>
    <w:rsid w:val="658E6531"/>
    <w:rsid w:val="658F0577"/>
    <w:rsid w:val="65D92E5D"/>
    <w:rsid w:val="674771F5"/>
    <w:rsid w:val="676378A7"/>
    <w:rsid w:val="67E6636C"/>
    <w:rsid w:val="688345E5"/>
    <w:rsid w:val="689A6C6E"/>
    <w:rsid w:val="68F36DB8"/>
    <w:rsid w:val="695A0B28"/>
    <w:rsid w:val="6A152B2A"/>
    <w:rsid w:val="6B892D17"/>
    <w:rsid w:val="6B96396E"/>
    <w:rsid w:val="6C4A05C8"/>
    <w:rsid w:val="6DF26522"/>
    <w:rsid w:val="6E7E3605"/>
    <w:rsid w:val="6FF5CC65"/>
    <w:rsid w:val="70034F1C"/>
    <w:rsid w:val="715C0E4B"/>
    <w:rsid w:val="71EA7B61"/>
    <w:rsid w:val="72582ECE"/>
    <w:rsid w:val="726F4F19"/>
    <w:rsid w:val="72734D90"/>
    <w:rsid w:val="72D153BF"/>
    <w:rsid w:val="73124222"/>
    <w:rsid w:val="73AD73D5"/>
    <w:rsid w:val="73B6EB34"/>
    <w:rsid w:val="73BB2C4B"/>
    <w:rsid w:val="744731E5"/>
    <w:rsid w:val="74525415"/>
    <w:rsid w:val="74A569D0"/>
    <w:rsid w:val="75B4336E"/>
    <w:rsid w:val="76BC4678"/>
    <w:rsid w:val="76E3355F"/>
    <w:rsid w:val="778769C8"/>
    <w:rsid w:val="77D5273D"/>
    <w:rsid w:val="792409F5"/>
    <w:rsid w:val="799B7FC0"/>
    <w:rsid w:val="79EE5BA4"/>
    <w:rsid w:val="7A894339"/>
    <w:rsid w:val="7AC8601E"/>
    <w:rsid w:val="7AF45F5E"/>
    <w:rsid w:val="7DD66F00"/>
    <w:rsid w:val="7E1C7222"/>
    <w:rsid w:val="7EEF11D3"/>
    <w:rsid w:val="7F1C5AC4"/>
    <w:rsid w:val="7FA30C79"/>
    <w:rsid w:val="7FB7269E"/>
    <w:rsid w:val="7FC96657"/>
    <w:rsid w:val="D8D6DB89"/>
    <w:rsid w:val="DB6F4CAB"/>
    <w:rsid w:val="DF6F978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2"/>
    <w:unhideWhenUsed/>
    <w:qFormat/>
    <w:uiPriority w:val="9"/>
    <w:pPr>
      <w:keepNext/>
      <w:keepLines/>
      <w:spacing w:before="260" w:after="260" w:line="416" w:lineRule="auto"/>
      <w:outlineLvl w:val="2"/>
    </w:pPr>
    <w:rPr>
      <w:b/>
      <w:bCs/>
      <w:sz w:val="32"/>
      <w:szCs w:val="32"/>
    </w:rPr>
  </w:style>
  <w:style w:type="character" w:default="1" w:styleId="16">
    <w:name w:val="Default Paragraph Font"/>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5"/>
    <w:qFormat/>
    <w:uiPriority w:val="99"/>
    <w:pPr>
      <w:spacing w:beforeLines="30"/>
    </w:pPr>
    <w:rPr>
      <w:rFonts w:ascii="仿宋_GB2312" w:eastAsia="仿宋_GB2312"/>
      <w:kern w:val="0"/>
      <w:sz w:val="30"/>
    </w:rPr>
  </w:style>
  <w:style w:type="paragraph" w:styleId="6">
    <w:name w:val="Body Text Indent"/>
    <w:basedOn w:val="1"/>
    <w:qFormat/>
    <w:uiPriority w:val="0"/>
    <w:pPr>
      <w:spacing w:after="120"/>
      <w:ind w:left="200" w:leftChars="200"/>
    </w:pPr>
    <w:rPr>
      <w:rFonts w:ascii="仿宋_GB2312"/>
      <w:szCs w:val="32"/>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31"/>
    <w:semiHidden/>
    <w:unhideWhenUsed/>
    <w:qFormat/>
    <w:uiPriority w:val="99"/>
    <w:rPr>
      <w:sz w:val="18"/>
      <w:szCs w:val="18"/>
    </w:rPr>
  </w:style>
  <w:style w:type="paragraph" w:styleId="9">
    <w:name w:val="footer"/>
    <w:basedOn w:val="1"/>
    <w:link w:val="23"/>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2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paragraph" w:styleId="13">
    <w:name w:val="Body Text First Indent 2"/>
    <w:basedOn w:val="6"/>
    <w:unhideWhenUsed/>
    <w:qFormat/>
    <w:uiPriority w:val="99"/>
    <w:pPr>
      <w:ind w:firstLine="420" w:firstLineChars="2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qFormat/>
    <w:uiPriority w:val="99"/>
    <w:rPr>
      <w:b/>
    </w:rPr>
  </w:style>
  <w:style w:type="character" w:styleId="18">
    <w:name w:val="Hyperlink"/>
    <w:basedOn w:val="16"/>
    <w:unhideWhenUsed/>
    <w:qFormat/>
    <w:uiPriority w:val="99"/>
    <w:rPr>
      <w:color w:val="0000FF" w:themeColor="hyperlink"/>
      <w:u w:val="single"/>
      <w14:textFill>
        <w14:solidFill>
          <w14:schemeClr w14:val="hlink"/>
        </w14:solidFill>
      </w14:textFill>
    </w:rPr>
  </w:style>
  <w:style w:type="paragraph" w:customStyle="1" w:styleId="19">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20">
    <w:name w:val="Header Char"/>
    <w:basedOn w:val="16"/>
    <w:semiHidden/>
    <w:qFormat/>
    <w:uiPriority w:val="99"/>
    <w:rPr>
      <w:rFonts w:ascii="Times New Roman" w:hAnsi="Times New Roman"/>
      <w:sz w:val="18"/>
      <w:szCs w:val="18"/>
    </w:rPr>
  </w:style>
  <w:style w:type="character" w:customStyle="1" w:styleId="21">
    <w:name w:val="页眉 Char"/>
    <w:link w:val="10"/>
    <w:semiHidden/>
    <w:qFormat/>
    <w:locked/>
    <w:uiPriority w:val="99"/>
    <w:rPr>
      <w:sz w:val="18"/>
    </w:rPr>
  </w:style>
  <w:style w:type="character" w:customStyle="1" w:styleId="22">
    <w:name w:val="Footer Char"/>
    <w:basedOn w:val="16"/>
    <w:semiHidden/>
    <w:qFormat/>
    <w:uiPriority w:val="99"/>
    <w:rPr>
      <w:rFonts w:ascii="Times New Roman" w:hAnsi="Times New Roman"/>
      <w:sz w:val="18"/>
      <w:szCs w:val="18"/>
    </w:rPr>
  </w:style>
  <w:style w:type="character" w:customStyle="1" w:styleId="23">
    <w:name w:val="页脚 Char"/>
    <w:link w:val="9"/>
    <w:qFormat/>
    <w:locked/>
    <w:uiPriority w:val="99"/>
    <w:rPr>
      <w:sz w:val="18"/>
    </w:rPr>
  </w:style>
  <w:style w:type="character" w:customStyle="1" w:styleId="24">
    <w:name w:val="Body Text Char"/>
    <w:basedOn w:val="16"/>
    <w:semiHidden/>
    <w:qFormat/>
    <w:uiPriority w:val="99"/>
    <w:rPr>
      <w:rFonts w:ascii="Times New Roman" w:hAnsi="Times New Roman"/>
      <w:szCs w:val="24"/>
    </w:rPr>
  </w:style>
  <w:style w:type="character" w:customStyle="1" w:styleId="25">
    <w:name w:val="正文文本 Char"/>
    <w:link w:val="2"/>
    <w:qFormat/>
    <w:locked/>
    <w:uiPriority w:val="99"/>
    <w:rPr>
      <w:rFonts w:ascii="仿宋_GB2312" w:hAnsi="Times New Roman" w:eastAsia="仿宋_GB2312"/>
      <w:sz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7">
    <w:name w:val="List Paragraph"/>
    <w:basedOn w:val="1"/>
    <w:qFormat/>
    <w:uiPriority w:val="34"/>
    <w:pPr>
      <w:ind w:firstLine="420" w:firstLineChars="200"/>
    </w:pPr>
  </w:style>
  <w:style w:type="character" w:customStyle="1" w:styleId="28">
    <w:name w:val="标题 1 Char"/>
    <w:basedOn w:val="16"/>
    <w:link w:val="3"/>
    <w:qFormat/>
    <w:uiPriority w:val="9"/>
    <w:rPr>
      <w:rFonts w:ascii="Times New Roman" w:hAnsi="Times New Roman"/>
      <w:b/>
      <w:bCs/>
      <w:kern w:val="44"/>
      <w:sz w:val="44"/>
      <w:szCs w:val="44"/>
    </w:rPr>
  </w:style>
  <w:style w:type="character" w:customStyle="1" w:styleId="29">
    <w:name w:val="标题 2 Char"/>
    <w:basedOn w:val="16"/>
    <w:link w:val="4"/>
    <w:qFormat/>
    <w:uiPriority w:val="9"/>
    <w:rPr>
      <w:rFonts w:asciiTheme="majorHAnsi" w:hAnsiTheme="majorHAnsi" w:eastAsiaTheme="majorEastAsia" w:cstheme="majorBidi"/>
      <w:b/>
      <w:bCs/>
      <w:kern w:val="2"/>
      <w:sz w:val="32"/>
      <w:szCs w:val="32"/>
    </w:rPr>
  </w:style>
  <w:style w:type="paragraph" w:customStyle="1" w:styleId="30">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1">
    <w:name w:val="批注框文本 Char"/>
    <w:basedOn w:val="16"/>
    <w:link w:val="8"/>
    <w:semiHidden/>
    <w:qFormat/>
    <w:uiPriority w:val="99"/>
    <w:rPr>
      <w:rFonts w:ascii="Times New Roman" w:hAnsi="Times New Roman"/>
      <w:kern w:val="2"/>
      <w:sz w:val="18"/>
      <w:szCs w:val="18"/>
    </w:rPr>
  </w:style>
  <w:style w:type="character" w:customStyle="1" w:styleId="32">
    <w:name w:val="标题 3 Char"/>
    <w:basedOn w:val="16"/>
    <w:link w:val="5"/>
    <w:qFormat/>
    <w:uiPriority w:val="9"/>
    <w:rPr>
      <w:rFonts w:ascii="Times New Roman" w:hAnsi="Times New Roman"/>
      <w:b/>
      <w:bCs/>
      <w:kern w:val="2"/>
      <w:sz w:val="32"/>
      <w:szCs w:val="32"/>
    </w:rPr>
  </w:style>
  <w:style w:type="paragraph" w:customStyle="1" w:styleId="33">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4">
    <w:name w:val="四号正文"/>
    <w:basedOn w:val="1"/>
    <w:qFormat/>
    <w:uiPriority w:val="0"/>
    <w:pPr>
      <w:spacing w:line="360" w:lineRule="auto"/>
    </w:pPr>
    <w:rPr>
      <w:rFonts w:ascii="??" w:hAnsi="??"/>
      <w:color w:val="000000"/>
      <w:kern w:val="0"/>
      <w:sz w:val="28"/>
      <w:szCs w:val="21"/>
      <w:lang w:val="zh-CN"/>
    </w:rPr>
  </w:style>
  <w:style w:type="character" w:customStyle="1" w:styleId="35">
    <w:name w:val="font11"/>
    <w:basedOn w:val="16"/>
    <w:qFormat/>
    <w:uiPriority w:val="0"/>
    <w:rPr>
      <w:rFonts w:hint="eastAsia" w:ascii="黑体" w:hAnsi="宋体" w:eastAsia="黑体" w:cs="黑体"/>
      <w:color w:val="000000"/>
      <w:sz w:val="32"/>
      <w:szCs w:val="32"/>
      <w:u w:val="none"/>
    </w:rPr>
  </w:style>
  <w:style w:type="character" w:customStyle="1" w:styleId="36">
    <w:name w:val="font91"/>
    <w:basedOn w:val="16"/>
    <w:qFormat/>
    <w:uiPriority w:val="0"/>
    <w:rPr>
      <w:rFonts w:hint="default" w:ascii="Times New Roman" w:hAnsi="Times New Roman" w:cs="Times New Roman"/>
      <w:color w:val="000000"/>
      <w:sz w:val="32"/>
      <w:szCs w:val="32"/>
      <w:u w:val="none"/>
    </w:rPr>
  </w:style>
  <w:style w:type="character" w:customStyle="1" w:styleId="37">
    <w:name w:val="font41"/>
    <w:basedOn w:val="16"/>
    <w:qFormat/>
    <w:uiPriority w:val="0"/>
    <w:rPr>
      <w:rFonts w:hint="default" w:ascii="Times New Roman" w:hAnsi="Times New Roman" w:cs="Times New Roman"/>
      <w:color w:val="000000"/>
      <w:sz w:val="36"/>
      <w:szCs w:val="36"/>
      <w:u w:val="none"/>
    </w:rPr>
  </w:style>
  <w:style w:type="character" w:customStyle="1" w:styleId="38">
    <w:name w:val="font101"/>
    <w:basedOn w:val="16"/>
    <w:qFormat/>
    <w:uiPriority w:val="0"/>
    <w:rPr>
      <w:rFonts w:hint="eastAsia" w:ascii="黑体" w:hAnsi="宋体" w:eastAsia="黑体" w:cs="黑体"/>
      <w:color w:val="000000"/>
      <w:sz w:val="36"/>
      <w:szCs w:val="36"/>
      <w:u w:val="none"/>
    </w:rPr>
  </w:style>
  <w:style w:type="character" w:customStyle="1" w:styleId="39">
    <w:name w:val="font31"/>
    <w:basedOn w:val="16"/>
    <w:qFormat/>
    <w:uiPriority w:val="0"/>
    <w:rPr>
      <w:rFonts w:hint="default" w:ascii="方正仿宋简体" w:hAnsi="方正仿宋简体" w:eastAsia="方正仿宋简体" w:cs="方正仿宋简体"/>
      <w:b/>
      <w:bCs/>
      <w:color w:val="000000"/>
      <w:sz w:val="18"/>
      <w:szCs w:val="18"/>
      <w:u w:val="none"/>
    </w:rPr>
  </w:style>
  <w:style w:type="character" w:customStyle="1" w:styleId="40">
    <w:name w:val="font51"/>
    <w:basedOn w:val="16"/>
    <w:qFormat/>
    <w:uiPriority w:val="0"/>
    <w:rPr>
      <w:rFonts w:hint="default" w:ascii="方正仿宋简体" w:hAnsi="方正仿宋简体" w:eastAsia="方正仿宋简体" w:cs="方正仿宋简体"/>
      <w:color w:val="000000"/>
      <w:sz w:val="18"/>
      <w:szCs w:val="18"/>
      <w:u w:val="none"/>
    </w:rPr>
  </w:style>
  <w:style w:type="character" w:customStyle="1" w:styleId="41">
    <w:name w:val="font71"/>
    <w:basedOn w:val="16"/>
    <w:qFormat/>
    <w:uiPriority w:val="0"/>
    <w:rPr>
      <w:rFonts w:hint="default" w:ascii="Times New Roman" w:hAnsi="Times New Roman" w:cs="Times New Roman"/>
      <w:color w:val="000000"/>
      <w:sz w:val="18"/>
      <w:szCs w:val="18"/>
      <w:u w:val="none"/>
    </w:rPr>
  </w:style>
  <w:style w:type="character" w:customStyle="1" w:styleId="42">
    <w:name w:val="font61"/>
    <w:basedOn w:val="16"/>
    <w:qFormat/>
    <w:uiPriority w:val="0"/>
    <w:rPr>
      <w:rFonts w:hint="default" w:ascii="方正仿宋简体" w:hAnsi="方正仿宋简体" w:eastAsia="方正仿宋简体" w:cs="方正仿宋简体"/>
      <w:color w:val="000000"/>
      <w:sz w:val="16"/>
      <w:szCs w:val="16"/>
      <w:u w:val="none"/>
    </w:rPr>
  </w:style>
  <w:style w:type="character" w:customStyle="1" w:styleId="43">
    <w:name w:val="font112"/>
    <w:basedOn w:val="16"/>
    <w:qFormat/>
    <w:uiPriority w:val="0"/>
    <w:rPr>
      <w:rFonts w:hint="default" w:ascii="Times New Roman" w:hAnsi="Times New Roman" w:cs="Times New Roman"/>
      <w:color w:val="000000"/>
      <w:sz w:val="16"/>
      <w:szCs w:val="16"/>
      <w:u w:val="none"/>
    </w:rPr>
  </w:style>
  <w:style w:type="character" w:customStyle="1" w:styleId="44">
    <w:name w:val="font81"/>
    <w:basedOn w:val="16"/>
    <w:qFormat/>
    <w:uiPriority w:val="0"/>
    <w:rPr>
      <w:rFonts w:hint="default" w:ascii="方正仿宋简体" w:hAnsi="方正仿宋简体" w:eastAsia="方正仿宋简体" w:cs="方正仿宋简体"/>
      <w:color w:val="000000"/>
      <w:sz w:val="15"/>
      <w:szCs w:val="15"/>
      <w:u w:val="none"/>
    </w:rPr>
  </w:style>
  <w:style w:type="character" w:customStyle="1" w:styleId="45">
    <w:name w:val="font121"/>
    <w:basedOn w:val="16"/>
    <w:qFormat/>
    <w:uiPriority w:val="0"/>
    <w:rPr>
      <w:rFonts w:hint="default" w:ascii="Times New Roman" w:hAnsi="Times New Roman" w:cs="Times New Roman"/>
      <w:color w:val="000000"/>
      <w:sz w:val="15"/>
      <w:szCs w:val="15"/>
      <w:u w:val="none"/>
    </w:rPr>
  </w:style>
  <w:style w:type="character" w:customStyle="1" w:styleId="46">
    <w:name w:val="font131"/>
    <w:basedOn w:val="16"/>
    <w:qFormat/>
    <w:uiPriority w:val="0"/>
    <w:rPr>
      <w:rFonts w:hint="default" w:ascii="Times New Roman" w:hAnsi="Times New Roman" w:cs="Times New Roman"/>
      <w:color w:val="000000"/>
      <w:sz w:val="32"/>
      <w:szCs w:val="32"/>
      <w:u w:val="none"/>
    </w:rPr>
  </w:style>
  <w:style w:type="character" w:customStyle="1" w:styleId="47">
    <w:name w:val="font141"/>
    <w:basedOn w:val="16"/>
    <w:qFormat/>
    <w:uiPriority w:val="0"/>
    <w:rPr>
      <w:rFonts w:ascii="方正小标宋简体" w:hAnsi="方正小标宋简体" w:eastAsia="方正小标宋简体" w:cs="方正小标宋简体"/>
      <w:b/>
      <w:bCs/>
      <w:color w:val="000000"/>
      <w:sz w:val="32"/>
      <w:szCs w:val="32"/>
      <w:u w:val="none"/>
    </w:rPr>
  </w:style>
  <w:style w:type="character" w:customStyle="1" w:styleId="48">
    <w:name w:val="font21"/>
    <w:basedOn w:val="16"/>
    <w:qFormat/>
    <w:uiPriority w:val="0"/>
    <w:rPr>
      <w:rFonts w:hint="eastAsia" w:ascii="宋体" w:hAnsi="宋体" w:eastAsia="宋体" w:cs="宋体"/>
      <w:b/>
      <w:bCs/>
      <w:color w:val="000000"/>
      <w:sz w:val="15"/>
      <w:szCs w:val="15"/>
      <w:u w:val="none"/>
    </w:rPr>
  </w:style>
  <w:style w:type="character" w:customStyle="1" w:styleId="49">
    <w:name w:val="font161"/>
    <w:basedOn w:val="16"/>
    <w:qFormat/>
    <w:uiPriority w:val="0"/>
    <w:rPr>
      <w:rFonts w:hint="default" w:ascii="Times New Roman" w:hAnsi="Times New Roman" w:cs="Times New Roman"/>
      <w:b/>
      <w:bCs/>
      <w:color w:val="000000"/>
      <w:sz w:val="15"/>
      <w:szCs w:val="15"/>
      <w:u w:val="none"/>
    </w:rPr>
  </w:style>
  <w:style w:type="character" w:customStyle="1" w:styleId="50">
    <w:name w:val="font171"/>
    <w:basedOn w:val="16"/>
    <w:qFormat/>
    <w:uiPriority w:val="0"/>
    <w:rPr>
      <w:rFonts w:hint="eastAsia" w:ascii="宋体" w:hAnsi="宋体" w:eastAsia="宋体" w:cs="宋体"/>
      <w:color w:val="000000"/>
      <w:sz w:val="15"/>
      <w:szCs w:val="15"/>
      <w:u w:val="none"/>
    </w:rPr>
  </w:style>
  <w:style w:type="character" w:customStyle="1" w:styleId="51">
    <w:name w:val="font151"/>
    <w:basedOn w:val="16"/>
    <w:qFormat/>
    <w:uiPriority w:val="0"/>
    <w:rPr>
      <w:rFonts w:hint="eastAsia" w:ascii="宋体" w:hAnsi="宋体" w:eastAsia="宋体" w:cs="宋体"/>
      <w:color w:val="000000"/>
      <w:sz w:val="16"/>
      <w:szCs w:val="16"/>
      <w:u w:val="none"/>
    </w:rPr>
  </w:style>
  <w:style w:type="character" w:customStyle="1" w:styleId="52">
    <w:name w:val="font181"/>
    <w:basedOn w:val="16"/>
    <w:qFormat/>
    <w:uiPriority w:val="0"/>
    <w:rPr>
      <w:rFonts w:hint="eastAsia" w:ascii="宋体" w:hAnsi="宋体" w:eastAsia="宋体" w:cs="宋体"/>
      <w:b/>
      <w:bCs/>
      <w:color w:val="000000"/>
      <w:sz w:val="16"/>
      <w:szCs w:val="16"/>
      <w:u w:val="none"/>
    </w:rPr>
  </w:style>
  <w:style w:type="character" w:customStyle="1" w:styleId="53">
    <w:name w:val="font191"/>
    <w:basedOn w:val="16"/>
    <w:qFormat/>
    <w:uiPriority w:val="0"/>
    <w:rPr>
      <w:rFonts w:hint="default" w:ascii="Times New Roman" w:hAnsi="Times New Roman" w:cs="Times New Roman"/>
      <w:color w:val="000000"/>
      <w:sz w:val="15"/>
      <w:szCs w:val="15"/>
      <w:u w:val="none"/>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6.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4.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5.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收、支决算总计变动情况</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2022年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支出（万元）</c:v>
                </c:pt>
                <c:pt idx="1">
                  <c:v>收入（万元）</c:v>
                </c:pt>
              </c:strCache>
            </c:strRef>
          </c:cat>
          <c:val>
            <c:numRef>
              <c:f>Sheet1!$B$2:$B$3</c:f>
              <c:numCache>
                <c:formatCode>General</c:formatCode>
                <c:ptCount val="2"/>
                <c:pt idx="0">
                  <c:v>527.58</c:v>
                </c:pt>
                <c:pt idx="1">
                  <c:v>527.58</c:v>
                </c:pt>
              </c:numCache>
            </c:numRef>
          </c:val>
        </c:ser>
        <c:ser>
          <c:idx val="1"/>
          <c:order val="1"/>
          <c:tx>
            <c:strRef>
              <c:f>Sheet1!$C$1</c:f>
              <c:strCache>
                <c:ptCount val="1"/>
                <c:pt idx="0">
                  <c:v>2023年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支出（万元）</c:v>
                </c:pt>
                <c:pt idx="1">
                  <c:v>收入（万元）</c:v>
                </c:pt>
              </c:strCache>
            </c:strRef>
          </c:cat>
          <c:val>
            <c:numRef>
              <c:f>Sheet1!$C$2:$C$3</c:f>
              <c:numCache>
                <c:formatCode>General</c:formatCode>
                <c:ptCount val="2"/>
                <c:pt idx="0">
                  <c:v>1262.94</c:v>
                </c:pt>
                <c:pt idx="1">
                  <c:v>1262.94</c:v>
                </c:pt>
              </c:numCache>
            </c:numRef>
          </c:val>
        </c:ser>
        <c:dLbls>
          <c:showLegendKey val="0"/>
          <c:showVal val="1"/>
          <c:showCatName val="0"/>
          <c:showSerName val="0"/>
          <c:showPercent val="0"/>
          <c:showBubbleSize val="0"/>
        </c:dLbls>
        <c:gapWidth val="246"/>
        <c:overlap val="-28"/>
        <c:axId val="233844204"/>
        <c:axId val="465893092"/>
        <c:extLst>
          <c:ext xmlns:c15="http://schemas.microsoft.com/office/drawing/2012/chart" uri="{02D57815-91ED-43cb-92C2-25804820EDAC}">
            <c15:filteredBarSeries>
              <c15:ser>
                <c:idx val="2"/>
                <c:order val="2"/>
                <c:tx>
                  <c:strRef>
                    <c:extLst>
                      <c:ext uri="{02D57815-91ED-43cb-92C2-25804820EDAC}">
                        <c15:formulaRef>
                          <c15:sqref>Sheet1!#REF!</c15:sqref>
                        </c15:formulaRef>
                      </c:ext>
                    </c:extLst>
                    <c:strCache>
                      <c:ptCount val="1"/>
                      <c:pt idx="0">
                        <c:v/>
                      </c:pt>
                    </c:strCache>
                  </c:strRef>
                </c:tx>
                <c:spPr>
                  <a:solidFill>
                    <a:schemeClr val="accent3"/>
                  </a:solidFill>
                  <a:ln>
                    <a:noFill/>
                  </a:ln>
                  <a:effectLst/>
                </c:spPr>
                <c:invertIfNegative val="0"/>
                <c:dLbls>
                  <c:delete val="1"/>
                </c:dLbls>
                <c:cat>
                  <c:strRef>
                    <c:extLst>
                      <c:ext uri="{02D57815-91ED-43cb-92C2-25804820EDAC}">
                        <c15:fullRef>
                          <c15:sqref/>
                        </c15:fullRef>
                        <c15:formulaRef>
                          <c15:sqref>Sheet1!$A$2:$A$3</c15:sqref>
                        </c15:formulaRef>
                      </c:ext>
                    </c:extLst>
                    <c:strCache>
                      <c:ptCount val="2"/>
                      <c:pt idx="0">
                        <c:v>支出（万元）</c:v>
                      </c:pt>
                      <c:pt idx="1">
                        <c:v>收入（万元）</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ext>
        </c:extLst>
      </c:barChart>
      <c:catAx>
        <c:axId val="23384420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65893092"/>
        <c:crosses val="autoZero"/>
        <c:auto val="1"/>
        <c:lblAlgn val="ctr"/>
        <c:lblOffset val="100"/>
        <c:noMultiLvlLbl val="0"/>
      </c:catAx>
      <c:valAx>
        <c:axId val="465893092"/>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33844204"/>
        <c:crosses val="autoZero"/>
        <c:crossBetween val="between"/>
      </c:valAx>
      <c:spPr>
        <a:noFill/>
        <a:ln>
          <a:noFill/>
        </a:ln>
        <a:effectLst/>
      </c:spPr>
    </c:plotArea>
    <c:legend>
      <c:legendPos val="b"/>
      <c:legendEntry>
        <c:idx val="0"/>
        <c:txPr>
          <a:bodyPr rot="0" spcFirstLastPara="0" vertOverflow="ellipsis" vert="horz" wrap="square" anchor="ctr" anchorCtr="1"/>
          <a:lstStyle/>
          <a:p>
            <a:pPr>
              <a:defRPr lang="zh-CN" sz="1200" b="1"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mn-ea"/>
                <a:cs typeface="+mn-cs"/>
              </a:defRPr>
            </a:pPr>
          </a:p>
        </c:txPr>
      </c:legendEntry>
      <c:legendEntry>
        <c:idx val="1"/>
        <c:txPr>
          <a:bodyPr rot="0" spcFirstLastPara="0" vertOverflow="ellipsis" vert="horz" wrap="square" anchor="ctr" anchorCtr="1"/>
          <a:lstStyle/>
          <a:p>
            <a:pPr>
              <a:defRPr lang="zh-CN" sz="1200" b="1"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mn-ea"/>
                <a:cs typeface="+mn-cs"/>
              </a:defRPr>
            </a:pPr>
          </a:p>
        </c:txPr>
      </c:legendEntry>
      <c:layout>
        <c:manualLayout>
          <c:xMode val="edge"/>
          <c:yMode val="edge"/>
          <c:x val="0.242130429007836"/>
          <c:y val="0.876280213027448"/>
          <c:w val="0.50644175853367"/>
          <c:h val="0.0981155264235969"/>
        </c:manualLayout>
      </c:layout>
      <c:overlay val="0"/>
      <c:spPr>
        <a:noFill/>
        <a:ln>
          <a:noFill/>
        </a:ln>
        <a:effectLst/>
      </c:spPr>
      <c:txPr>
        <a:bodyPr rot="0" spcFirstLastPara="0" vertOverflow="ellipsis" vert="horz" wrap="square" anchor="ctr" anchorCtr="1"/>
        <a:lstStyle/>
        <a:p>
          <a:pPr>
            <a:defRPr lang="zh-CN" sz="1200" b="1"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mn-ea"/>
              <a:cs typeface="+mn-cs"/>
            </a:defRPr>
          </a:pPr>
        </a:p>
      </c:txPr>
    </c:legend>
    <c:plotVisOnly val="1"/>
    <c:dispBlanksAs val="gap"/>
    <c:showDLblsOverMax val="0"/>
  </c:chart>
  <c:spPr>
    <a:solidFill>
      <a:schemeClr val="bg1"/>
    </a:solidFill>
    <a:ln w="12700"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pieChart>
        <c:varyColors val="1"/>
        <c:ser>
          <c:idx val="0"/>
          <c:order val="0"/>
          <c:tx>
            <c:strRef>
              <c:f>Sheet1!$B$1</c:f>
              <c:strCache>
                <c:ptCount val="1"/>
                <c:pt idx="0">
                  <c:v>2023年收入决算结构图（单位：万元）</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dLbl>
              <c:idx val="0"/>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rPr lang="en-US" altLang="zh-CN"/>
                      <a:t>1258.42</a:t>
                    </a:r>
                    <a:endParaRPr lang="en-US" altLang="zh-CN"/>
                  </a:p>
                </c:rich>
              </c:tx>
              <c:dLblPos val="inEnd"/>
              <c:showLegendKey val="0"/>
              <c:showVal val="0"/>
              <c:showCatName val="0"/>
              <c:showSerName val="0"/>
              <c:showPercent val="1"/>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rPr lang="en-US" altLang="zh-CN"/>
                      <a:t>4.52</a:t>
                    </a:r>
                    <a:endParaRPr lang="en-US" altLang="zh-CN"/>
                  </a:p>
                </c:rich>
              </c:tx>
              <c:dLblPos val="inEnd"/>
              <c:showLegendKey val="0"/>
              <c:showVal val="0"/>
              <c:showCatName val="0"/>
              <c:showSerName val="0"/>
              <c:showPercent val="1"/>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一般公共预算财政拨款收入</c:v>
                </c:pt>
                <c:pt idx="1">
                  <c:v>政府性基金预算财政拨款收入</c:v>
                </c:pt>
              </c:strCache>
            </c:strRef>
          </c:cat>
          <c:val>
            <c:numRef>
              <c:f>Sheet1!$B$2:$B$3</c:f>
              <c:numCache>
                <c:formatCode>General</c:formatCode>
                <c:ptCount val="2"/>
                <c:pt idx="0">
                  <c:v>1258.42</c:v>
                </c:pt>
                <c:pt idx="1">
                  <c:v>4.52</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egendEntry>
        <c:idx val="0"/>
        <c:txPr>
          <a:bodyPr rot="0" spcFirstLastPara="0" vertOverflow="ellipsis" vert="horz" wrap="square" anchor="ctr" anchorCtr="1"/>
          <a:lstStyle/>
          <a:p>
            <a:pPr>
              <a:defRPr lang="zh-CN" sz="1000" b="1"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mn-ea"/>
                <a:cs typeface="+mn-cs"/>
              </a:defRPr>
            </a:pPr>
          </a:p>
        </c:txPr>
      </c:legendEntry>
      <c:legendEntry>
        <c:idx val="1"/>
        <c:txPr>
          <a:bodyPr rot="0" spcFirstLastPara="0" vertOverflow="ellipsis" vert="horz" wrap="square" anchor="ctr" anchorCtr="1"/>
          <a:lstStyle/>
          <a:p>
            <a:pPr>
              <a:defRPr lang="zh-CN" sz="1000" b="1"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1000" b="1"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2023年支出决算结构图（单位：万元）</a:t>
            </a:r>
          </a:p>
        </c:rich>
      </c:tx>
      <c:layout/>
      <c:overlay val="0"/>
      <c:spPr>
        <a:noFill/>
        <a:ln>
          <a:noFill/>
        </a:ln>
        <a:effectLst/>
      </c:spPr>
    </c:title>
    <c:autoTitleDeleted val="0"/>
    <c:plotArea>
      <c:layout/>
      <c:pieChart>
        <c:varyColors val="1"/>
        <c:ser>
          <c:idx val="0"/>
          <c:order val="0"/>
          <c:tx>
            <c:strRef>
              <c:f>Sheet1!$B$1</c:f>
              <c:strCache>
                <c:ptCount val="1"/>
                <c:pt idx="0">
                  <c:v>销售额</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dLbl>
              <c:idx val="0"/>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rPr lang="en-US" altLang="zh-CN"/>
                      <a:t>544.36</a:t>
                    </a:r>
                    <a:endParaRPr lang="en-US" altLang="zh-CN"/>
                  </a:p>
                </c:rich>
              </c:tx>
              <c:dLblPos val="inEnd"/>
              <c:showLegendKey val="0"/>
              <c:showVal val="0"/>
              <c:showCatName val="0"/>
              <c:showSerName val="0"/>
              <c:showPercent val="1"/>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rPr lang="en-US" altLang="zh-CN"/>
                      <a:t>718.58</a:t>
                    </a:r>
                    <a:endParaRPr lang="en-US" altLang="zh-CN"/>
                  </a:p>
                </c:rich>
              </c:tx>
              <c:dLblPos val="inEnd"/>
              <c:showLegendKey val="0"/>
              <c:showVal val="0"/>
              <c:showCatName val="0"/>
              <c:showSerName val="0"/>
              <c:showPercent val="1"/>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544.36</c:v>
                </c:pt>
                <c:pt idx="1">
                  <c:v>718.58</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egendEntry>
        <c:idx val="0"/>
        <c:txPr>
          <a:bodyPr rot="0" spcFirstLastPara="0" vertOverflow="ellipsis" vert="horz" wrap="square" anchor="ctr" anchorCtr="1"/>
          <a:lstStyle/>
          <a:p>
            <a:pPr>
              <a:defRPr lang="zh-CN" sz="1000" b="1"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mn-ea"/>
                <a:cs typeface="+mn-cs"/>
              </a:defRPr>
            </a:pPr>
          </a:p>
        </c:txPr>
      </c:legendEntry>
      <c:legendEntry>
        <c:idx val="1"/>
        <c:txPr>
          <a:bodyPr rot="0" spcFirstLastPara="0" vertOverflow="ellipsis" vert="horz" wrap="square" anchor="ctr" anchorCtr="1"/>
          <a:lstStyle/>
          <a:p>
            <a:pPr>
              <a:defRPr lang="zh-CN" sz="1000" b="1"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mn-ea"/>
                <a:cs typeface="+mn-cs"/>
              </a:defRPr>
            </a:pPr>
          </a:p>
        </c:txPr>
      </c:legendEntry>
      <c:layout>
        <c:manualLayout>
          <c:xMode val="edge"/>
          <c:yMode val="edge"/>
          <c:x val="0.302367721671901"/>
          <c:y val="0.895665108372291"/>
          <c:w val="0.398647016187485"/>
          <c:h val="0.0788355291117722"/>
        </c:manualLayout>
      </c:layout>
      <c:overlay val="0"/>
      <c:spPr>
        <a:noFill/>
        <a:ln>
          <a:noFill/>
        </a:ln>
        <a:effectLst/>
      </c:spPr>
      <c:txPr>
        <a:bodyPr rot="0" spcFirstLastPara="0" vertOverflow="ellipsis" vert="horz" wrap="square" anchor="ctr" anchorCtr="1"/>
        <a:lstStyle/>
        <a:p>
          <a:pPr>
            <a:defRPr lang="zh-CN" sz="1000" b="1"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财政拨款收、支决算总计变动情况</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2022年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收入（万元）</c:v>
                </c:pt>
                <c:pt idx="1">
                  <c:v>支出（万元）</c:v>
                </c:pt>
              </c:strCache>
            </c:strRef>
          </c:cat>
          <c:val>
            <c:numRef>
              <c:f>Sheet1!$B$2:$B$3</c:f>
              <c:numCache>
                <c:formatCode>General</c:formatCode>
                <c:ptCount val="2"/>
                <c:pt idx="0">
                  <c:v>527.58</c:v>
                </c:pt>
                <c:pt idx="1">
                  <c:v>527.58</c:v>
                </c:pt>
              </c:numCache>
            </c:numRef>
          </c:val>
        </c:ser>
        <c:ser>
          <c:idx val="1"/>
          <c:order val="1"/>
          <c:tx>
            <c:strRef>
              <c:f>Sheet1!$C$1</c:f>
              <c:strCache>
                <c:ptCount val="1"/>
                <c:pt idx="0">
                  <c:v>2023年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收入（万元）</c:v>
                </c:pt>
                <c:pt idx="1">
                  <c:v>支出（万元）</c:v>
                </c:pt>
              </c:strCache>
            </c:strRef>
          </c:cat>
          <c:val>
            <c:numRef>
              <c:f>Sheet1!$C$2:$C$3</c:f>
              <c:numCache>
                <c:formatCode>General</c:formatCode>
                <c:ptCount val="2"/>
                <c:pt idx="0">
                  <c:v>1262.94</c:v>
                </c:pt>
                <c:pt idx="1">
                  <c:v>1262.94</c:v>
                </c:pt>
              </c:numCache>
            </c:numRef>
          </c:val>
        </c:ser>
        <c:dLbls>
          <c:showLegendKey val="0"/>
          <c:showVal val="1"/>
          <c:showCatName val="0"/>
          <c:showSerName val="0"/>
          <c:showPercent val="0"/>
          <c:showBubbleSize val="0"/>
        </c:dLbls>
        <c:gapWidth val="246"/>
        <c:overlap val="-28"/>
        <c:axId val="959235420"/>
        <c:axId val="90463894"/>
        <c:extLst>
          <c:ext xmlns:c15="http://schemas.microsoft.com/office/drawing/2012/chart" uri="{02D57815-91ED-43cb-92C2-25804820EDAC}">
            <c15:filteredBarSeries>
              <c15:ser>
                <c:idx val="2"/>
                <c:order val="2"/>
                <c:tx>
                  <c:strRef>
                    <c:extLst>
                      <c:ext uri="{02D57815-91ED-43cb-92C2-25804820EDAC}">
                        <c15:formulaRef>
                          <c15:sqref>Sheet1!#REF!</c15:sqref>
                        </c15:formulaRef>
                      </c:ext>
                    </c:extLst>
                    <c:strCache>
                      <c:ptCount val="1"/>
                      <c:pt idx="0">
                        <c:v/>
                      </c:pt>
                    </c:strCache>
                  </c:strRef>
                </c:tx>
                <c:spPr>
                  <a:solidFill>
                    <a:schemeClr val="accent3"/>
                  </a:solidFill>
                  <a:ln>
                    <a:noFill/>
                  </a:ln>
                  <a:effectLst/>
                </c:spPr>
                <c:invertIfNegative val="0"/>
                <c:dLbls>
                  <c:delete val="1"/>
                </c:dLbls>
                <c:cat>
                  <c:strRef>
                    <c:extLst>
                      <c:ext uri="{02D57815-91ED-43cb-92C2-25804820EDAC}">
                        <c15:fullRef>
                          <c15:sqref/>
                        </c15:fullRef>
                        <c15:formulaRef>
                          <c15:sqref>Sheet1!$A$2:$A$3</c15:sqref>
                        </c15:formulaRef>
                      </c:ext>
                    </c:extLst>
                    <c:strCache>
                      <c:ptCount val="2"/>
                      <c:pt idx="0">
                        <c:v>收入（万元）</c:v>
                      </c:pt>
                      <c:pt idx="1">
                        <c:v>支出（万元）</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ext>
        </c:extLst>
      </c:barChart>
      <c:catAx>
        <c:axId val="95923542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0463894"/>
        <c:crosses val="autoZero"/>
        <c:auto val="1"/>
        <c:lblAlgn val="ctr"/>
        <c:lblOffset val="100"/>
        <c:noMultiLvlLbl val="0"/>
      </c:catAx>
      <c:valAx>
        <c:axId val="90463894"/>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9235420"/>
        <c:crosses val="autoZero"/>
        <c:crossBetween val="between"/>
      </c:valAx>
      <c:spPr>
        <a:noFill/>
        <a:ln>
          <a:noFill/>
        </a:ln>
        <a:effectLst/>
      </c:spPr>
    </c:plotArea>
    <c:legend>
      <c:legendPos val="b"/>
      <c:legendEntry>
        <c:idx val="0"/>
        <c:txPr>
          <a:bodyPr rot="0" spcFirstLastPara="0" vertOverflow="ellipsis" vert="horz" wrap="square" anchor="ctr" anchorCtr="1"/>
          <a:lstStyle/>
          <a:p>
            <a:pPr>
              <a:defRPr lang="zh-CN" sz="1000" b="1"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mn-ea"/>
                <a:cs typeface="+mn-cs"/>
              </a:defRPr>
            </a:pPr>
          </a:p>
        </c:txPr>
      </c:legendEntry>
      <c:legendEntry>
        <c:idx val="1"/>
        <c:txPr>
          <a:bodyPr rot="0" spcFirstLastPara="0" vertOverflow="ellipsis" vert="horz" wrap="square" anchor="ctr" anchorCtr="1"/>
          <a:lstStyle/>
          <a:p>
            <a:pPr>
              <a:defRPr lang="zh-CN" sz="1000" b="1"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mn-ea"/>
                <a:cs typeface="+mn-cs"/>
              </a:defRPr>
            </a:pPr>
          </a:p>
        </c:txPr>
      </c:legendEntry>
      <c:layout>
        <c:manualLayout>
          <c:xMode val="edge"/>
          <c:yMode val="edge"/>
          <c:x val="0.18149726110773"/>
          <c:y val="0.890202702702703"/>
          <c:w val="0.639074863055387"/>
          <c:h val="0.0808397683397683"/>
        </c:manualLayout>
      </c:layout>
      <c:overlay val="0"/>
      <c:spPr>
        <a:noFill/>
        <a:ln>
          <a:noFill/>
        </a:ln>
        <a:effectLst/>
      </c:spPr>
      <c:txPr>
        <a:bodyPr rot="0" spcFirstLastPara="0" vertOverflow="ellipsis" vert="horz" wrap="square" anchor="ctr" anchorCtr="1"/>
        <a:lstStyle/>
        <a:p>
          <a:pPr>
            <a:defRPr lang="zh-CN" sz="1000" b="1"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一般公共预算财政拨款支出决算变动情况</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一般公共预算财政拨款支出</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2022年（万元）</c:v>
                </c:pt>
                <c:pt idx="1">
                  <c:v>2023年（万元）</c:v>
                </c:pt>
              </c:strCache>
            </c:strRef>
          </c:cat>
          <c:val>
            <c:numRef>
              <c:f>Sheet1!$B$2:$B$3</c:f>
              <c:numCache>
                <c:formatCode>General</c:formatCode>
                <c:ptCount val="2"/>
                <c:pt idx="0">
                  <c:v>527.58</c:v>
                </c:pt>
                <c:pt idx="1">
                  <c:v>1258.42</c:v>
                </c:pt>
              </c:numCache>
            </c:numRef>
          </c:val>
        </c:ser>
        <c:dLbls>
          <c:showLegendKey val="0"/>
          <c:showVal val="1"/>
          <c:showCatName val="0"/>
          <c:showSerName val="0"/>
          <c:showPercent val="0"/>
          <c:showBubbleSize val="0"/>
        </c:dLbls>
        <c:gapWidth val="246"/>
        <c:overlap val="-28"/>
        <c:axId val="36854235"/>
        <c:axId val="12220573"/>
        <c:extLst>
          <c:ext xmlns:c15="http://schemas.microsoft.com/office/drawing/2012/chart" uri="{02D57815-91ED-43cb-92C2-25804820EDAC}">
            <c15:filteredBarSeries>
              <c15:ser>
                <c:idx val="1"/>
                <c:order val="1"/>
                <c:tx>
                  <c:strRef>
                    <c:extLst>
                      <c:ext uri="{02D57815-91ED-43cb-92C2-25804820EDAC}">
                        <c15:formulaRef>
                          <c15:sqref>Sheet1!#REF!</c15:sqref>
                        </c15:formulaRef>
                      </c:ext>
                    </c:extLst>
                    <c:strCache>
                      <c:ptCount val="1"/>
                      <c:pt idx="0">
                        <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ullRef>
                          <c15:sqref/>
                        </c15:fullRef>
                        <c15:formulaRef>
                          <c15:sqref>Sheet1!$A$2:$A$3</c15:sqref>
                        </c15:formulaRef>
                      </c:ext>
                    </c:extLst>
                    <c:strCache>
                      <c:ptCount val="2"/>
                      <c:pt idx="0">
                        <c:v>2022年（万元）</c:v>
                      </c:pt>
                      <c:pt idx="1">
                        <c:v>2023年（万元）</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15:filteredBarSeries>
              <c15:ser>
                <c:idx val="2"/>
                <c:order val="2"/>
                <c:tx>
                  <c:strRef>
                    <c:extLst>
                      <c:ext uri="{02D57815-91ED-43cb-92C2-25804820EDAC}">
                        <c15:formulaRef>
                          <c15:sqref>Sheet1!#REF!</c15:sqref>
                        </c15:formulaRef>
                      </c:ext>
                    </c:extLst>
                    <c:strCache>
                      <c:ptCount val="1"/>
                      <c:pt idx="0">
                        <c:v/>
                      </c:pt>
                    </c:strCache>
                  </c:strRef>
                </c:tx>
                <c:spPr>
                  <a:solidFill>
                    <a:schemeClr val="accent3"/>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ullRef>
                          <c15:sqref/>
                        </c15:fullRef>
                        <c15:formulaRef>
                          <c15:sqref>Sheet1!$A$2:$A$3</c15:sqref>
                        </c15:formulaRef>
                      </c:ext>
                    </c:extLst>
                    <c:strCache>
                      <c:ptCount val="2"/>
                      <c:pt idx="0">
                        <c:v>2022年（万元）</c:v>
                      </c:pt>
                      <c:pt idx="1">
                        <c:v>2023年（万元）</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ext>
        </c:extLst>
      </c:barChart>
      <c:catAx>
        <c:axId val="3685423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2220573"/>
        <c:crosses val="autoZero"/>
        <c:auto val="1"/>
        <c:lblAlgn val="ctr"/>
        <c:lblOffset val="100"/>
        <c:noMultiLvlLbl val="0"/>
      </c:catAx>
      <c:valAx>
        <c:axId val="12220573"/>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6854235"/>
        <c:crosses val="autoZero"/>
        <c:crossBetween val="between"/>
      </c:valAx>
      <c:spPr>
        <a:noFill/>
        <a:ln>
          <a:noFill/>
        </a:ln>
        <a:effectLst/>
      </c:spPr>
    </c:plotArea>
    <c:legend>
      <c:legendPos val="b"/>
      <c:legendEntry>
        <c:idx val="0"/>
        <c:txPr>
          <a:bodyPr rot="0" spcFirstLastPara="0" vertOverflow="ellipsis" vert="horz" wrap="square" anchor="ctr" anchorCtr="1"/>
          <a:lstStyle/>
          <a:p>
            <a:pPr>
              <a:defRPr lang="zh-CN" sz="1000" b="1"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1000" b="1"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一般公共预算财政拨款支出决算结构（单位：万元）</a:t>
            </a:r>
          </a:p>
        </c:rich>
      </c:tx>
      <c:layout/>
      <c:overlay val="0"/>
      <c:spPr>
        <a:noFill/>
        <a:ln>
          <a:noFill/>
        </a:ln>
        <a:effectLst/>
      </c:spPr>
    </c:title>
    <c:autoTitleDeleted val="0"/>
    <c:plotArea>
      <c:layout/>
      <c:pieChart>
        <c:varyColors val="1"/>
        <c:ser>
          <c:idx val="0"/>
          <c:order val="0"/>
          <c:tx>
            <c:strRef>
              <c:f>Sheet1!$B$1</c:f>
              <c:strCache>
                <c:ptCount val="1"/>
                <c:pt idx="0">
                  <c:v>销售额</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Lbls>
            <c:dLbl>
              <c:idx val="0"/>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1256.14</a:t>
                    </a:r>
                  </a:p>
                </c:rich>
              </c:tx>
              <c:dLblPos val="inEnd"/>
              <c:showLegendKey val="0"/>
              <c:showVal val="1"/>
              <c:showCatName val="0"/>
              <c:showSerName val="0"/>
              <c:showPercent val="1"/>
              <c:showBubbleSize val="0"/>
              <c:extLst>
                <c:ext xmlns:c15="http://schemas.microsoft.com/office/drawing/2012/chart" uri="{CE6537A1-D6FC-4f65-9D91-7224C49458BB}"/>
              </c:extLst>
            </c:dLbl>
            <c:dLbl>
              <c:idx val="1"/>
              <c:layout>
                <c:manualLayout>
                  <c:x val="0.0118948131797719"/>
                  <c:y val="0.0175773330506087"/>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0.28</a:t>
                    </a:r>
                  </a:p>
                </c:rich>
              </c:tx>
              <c:dLblPos val="bestFit"/>
              <c:showLegendKey val="0"/>
              <c:showVal val="1"/>
              <c:showCatName val="0"/>
              <c:showSerName val="0"/>
              <c:showPercent val="1"/>
              <c:showBubbleSize val="0"/>
              <c:extLst>
                <c:ext xmlns:c15="http://schemas.microsoft.com/office/drawing/2012/chart" uri="{CE6537A1-D6FC-4f65-9D91-7224C49458BB}">
                  <c15:layout/>
                </c:ext>
              </c:extLst>
            </c:dLbl>
            <c:dLbl>
              <c:idx val="2"/>
              <c:layout>
                <c:manualLayout>
                  <c:x val="0.129216420138402"/>
                  <c:y val="0.0492408767556355"/>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0.5</a:t>
                    </a:r>
                  </a:p>
                </c:rich>
              </c:tx>
              <c:dLblPos val="bestFit"/>
              <c:showLegendKey val="0"/>
              <c:showVal val="1"/>
              <c:showCatName val="0"/>
              <c:showSerName val="0"/>
              <c:showPercent val="1"/>
              <c:showBubbleSize val="0"/>
              <c:extLst>
                <c:ext xmlns:c15="http://schemas.microsoft.com/office/drawing/2012/chart" uri="{CE6537A1-D6FC-4f65-9D91-7224C49458BB}">
                  <c15:layout/>
                </c:ext>
              </c:extLst>
            </c:dLbl>
            <c:dLbl>
              <c:idx val="3"/>
              <c:layout>
                <c:manualLayout>
                  <c:x val="-0.073534673698279"/>
                  <c:y val="0.0307568631760184"/>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1.5</a:t>
                    </a:r>
                  </a:p>
                </c:rich>
              </c:tx>
              <c:dLblPos val="bestFit"/>
              <c:showLegendKey val="0"/>
              <c:showVal val="1"/>
              <c:showCatName val="0"/>
              <c:showSerName val="0"/>
              <c:showPercent val="1"/>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卫生健康</c:v>
                </c:pt>
                <c:pt idx="1">
                  <c:v>社会保障和就业</c:v>
                </c:pt>
                <c:pt idx="2">
                  <c:v>农村水支出</c:v>
                </c:pt>
                <c:pt idx="3">
                  <c:v>住房保障</c:v>
                </c:pt>
              </c:strCache>
            </c:strRef>
          </c:cat>
          <c:val>
            <c:numRef>
              <c:f>Sheet1!$B$2:$B$5</c:f>
              <c:numCache>
                <c:formatCode>General</c:formatCode>
                <c:ptCount val="4"/>
                <c:pt idx="0">
                  <c:v>1256.14</c:v>
                </c:pt>
                <c:pt idx="1">
                  <c:v>0.28</c:v>
                </c:pt>
                <c:pt idx="2">
                  <c:v>0.5</c:v>
                </c:pt>
                <c:pt idx="3">
                  <c:v>1.5</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egendEntry>
        <c:idx val="0"/>
        <c:txPr>
          <a:bodyPr rot="0" spcFirstLastPara="0" vertOverflow="ellipsis" vert="horz" wrap="square" anchor="ctr" anchorCtr="1"/>
          <a:lstStyle/>
          <a:p>
            <a:pPr>
              <a:defRPr lang="zh-CN" sz="1000" b="1"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mn-ea"/>
                <a:cs typeface="+mn-cs"/>
              </a:defRPr>
            </a:pPr>
          </a:p>
        </c:txPr>
      </c:legendEntry>
      <c:legendEntry>
        <c:idx val="1"/>
        <c:txPr>
          <a:bodyPr rot="0" spcFirstLastPara="0" vertOverflow="ellipsis" vert="horz" wrap="square" anchor="ctr" anchorCtr="1"/>
          <a:lstStyle/>
          <a:p>
            <a:pPr>
              <a:defRPr lang="zh-CN" sz="1000" b="1"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mn-ea"/>
                <a:cs typeface="+mn-cs"/>
              </a:defRPr>
            </a:pPr>
          </a:p>
        </c:txPr>
      </c:legendEntry>
      <c:legendEntry>
        <c:idx val="2"/>
        <c:txPr>
          <a:bodyPr rot="0" spcFirstLastPara="0" vertOverflow="ellipsis" vert="horz" wrap="square" anchor="ctr" anchorCtr="1"/>
          <a:lstStyle/>
          <a:p>
            <a:pPr>
              <a:defRPr lang="zh-CN" sz="1000" b="1"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mn-ea"/>
                <a:cs typeface="+mn-cs"/>
              </a:defRPr>
            </a:pPr>
          </a:p>
        </c:txPr>
      </c:legendEntry>
      <c:legendEntry>
        <c:idx val="3"/>
        <c:txPr>
          <a:bodyPr rot="0" spcFirstLastPara="0" vertOverflow="ellipsis" vert="horz" wrap="square" anchor="ctr" anchorCtr="1"/>
          <a:lstStyle/>
          <a:p>
            <a:pPr>
              <a:defRPr lang="zh-CN" sz="1000" b="1"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mn-ea"/>
                <a:cs typeface="+mn-cs"/>
              </a:defRPr>
            </a:pPr>
          </a:p>
        </c:txPr>
      </c:legendEntry>
      <c:layout>
        <c:manualLayout>
          <c:xMode val="edge"/>
          <c:yMode val="edge"/>
          <c:x val="0.0471128291857937"/>
          <c:y val="0.903739906502337"/>
          <c:w val="0.922686639284851"/>
          <c:h val="0.0707607309817255"/>
        </c:manualLayout>
      </c:layout>
      <c:overlay val="0"/>
      <c:spPr>
        <a:noFill/>
        <a:ln>
          <a:noFill/>
        </a:ln>
        <a:effectLst/>
      </c:spPr>
      <c:txPr>
        <a:bodyPr rot="0" spcFirstLastPara="0" vertOverflow="ellipsis" vert="horz" wrap="square" anchor="ctr" anchorCtr="1"/>
        <a:lstStyle/>
        <a:p>
          <a:pPr>
            <a:defRPr lang="zh-CN" sz="1000" b="1"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83">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083">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10083">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20</Pages>
  <Words>6834</Words>
  <Characters>7643</Characters>
  <Lines>164</Lines>
  <Paragraphs>46</Paragraphs>
  <TotalTime>2</TotalTime>
  <ScaleCrop>false</ScaleCrop>
  <LinksUpToDate>false</LinksUpToDate>
  <CharactersWithSpaces>7680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Administrator</cp:lastModifiedBy>
  <cp:lastPrinted>2024-09-13T07:02:14Z</cp:lastPrinted>
  <dcterms:modified xsi:type="dcterms:W3CDTF">2024-09-13T07:37:35Z</dcterms:modified>
  <dc:title>四川省***</dc:title>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D7B0D2284216423BA57A4D59EAAD7860_13</vt:lpwstr>
  </property>
</Properties>
</file>