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eastAsia="黑体"/>
          <w:bCs/>
          <w:color w:val="000000"/>
          <w:sz w:val="32"/>
          <w:szCs w:val="32"/>
        </w:rPr>
      </w:pPr>
    </w:p>
    <w:tbl>
      <w:tblPr>
        <w:tblStyle w:val="2"/>
        <w:tblpPr w:leftFromText="180" w:rightFromText="180" w:vertAnchor="text" w:horzAnchor="page" w:tblpXSpec="center" w:tblpY="-5"/>
        <w:tblOverlap w:val="never"/>
        <w:tblW w:w="10397" w:type="dxa"/>
        <w:jc w:val="center"/>
        <w:tblLayout w:type="fixed"/>
        <w:tblCellMar>
          <w:top w:w="0" w:type="dxa"/>
          <w:left w:w="108" w:type="dxa"/>
          <w:bottom w:w="0" w:type="dxa"/>
          <w:right w:w="108" w:type="dxa"/>
        </w:tblCellMar>
      </w:tblPr>
      <w:tblGrid>
        <w:gridCol w:w="581"/>
        <w:gridCol w:w="538"/>
        <w:gridCol w:w="580"/>
        <w:gridCol w:w="2587"/>
        <w:gridCol w:w="3578"/>
        <w:gridCol w:w="791"/>
        <w:gridCol w:w="1742"/>
      </w:tblGrid>
      <w:tr>
        <w:tblPrEx>
          <w:tblCellMar>
            <w:top w:w="0" w:type="dxa"/>
            <w:left w:w="108" w:type="dxa"/>
            <w:bottom w:w="0" w:type="dxa"/>
            <w:right w:w="108" w:type="dxa"/>
          </w:tblCellMar>
        </w:tblPrEx>
        <w:trPr>
          <w:trHeight w:val="420" w:hRule="atLeast"/>
          <w:jc w:val="center"/>
        </w:trPr>
        <w:tc>
          <w:tcPr>
            <w:tcW w:w="10397" w:type="dxa"/>
            <w:gridSpan w:val="7"/>
            <w:tcBorders>
              <w:top w:val="nil"/>
              <w:left w:val="nil"/>
              <w:bottom w:val="single" w:color="auto" w:sz="4" w:space="0"/>
              <w:right w:val="nil"/>
            </w:tcBorders>
            <w:shd w:val="clear" w:color="auto" w:fill="auto"/>
            <w:vAlign w:val="center"/>
          </w:tcPr>
          <w:p>
            <w:pPr>
              <w:spacing w:line="480" w:lineRule="exact"/>
              <w:jc w:val="left"/>
              <w:rPr>
                <w:rFonts w:eastAsia="黑体"/>
                <w:bCs/>
                <w:color w:val="000000"/>
                <w:sz w:val="32"/>
                <w:szCs w:val="32"/>
              </w:rPr>
            </w:pPr>
            <w:r>
              <w:rPr>
                <w:rFonts w:eastAsia="黑体"/>
                <w:bCs/>
                <w:color w:val="000000"/>
                <w:sz w:val="32"/>
                <w:szCs w:val="32"/>
              </w:rPr>
              <w:t>附件</w:t>
            </w:r>
          </w:p>
          <w:p>
            <w:pPr>
              <w:spacing w:line="48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2022年县级财政项目支出绩效评价指标体系</w:t>
            </w:r>
          </w:p>
          <w:p>
            <w:pPr>
              <w:spacing w:line="480" w:lineRule="exact"/>
              <w:rPr>
                <w:rFonts w:eastAsia="方正小标宋简体"/>
                <w:b/>
                <w:bCs/>
                <w:color w:val="000000"/>
                <w:sz w:val="32"/>
                <w:szCs w:val="32"/>
              </w:rPr>
            </w:pPr>
            <w:r>
              <w:rPr>
                <w:rFonts w:hint="eastAsia" w:ascii="仿宋_GB2312" w:hAnsi="仿宋_GB2312" w:eastAsia="仿宋_GB2312" w:cs="仿宋_GB2312"/>
                <w:color w:val="000000"/>
                <w:sz w:val="32"/>
                <w:szCs w:val="32"/>
              </w:rPr>
              <w:t>报送单位：国家统计局南江调查队           时间：2022年7月22日</w:t>
            </w:r>
          </w:p>
        </w:tc>
      </w:tr>
      <w:tr>
        <w:tblPrEx>
          <w:tblCellMar>
            <w:top w:w="0" w:type="dxa"/>
            <w:left w:w="108" w:type="dxa"/>
            <w:bottom w:w="0" w:type="dxa"/>
            <w:right w:w="108" w:type="dxa"/>
          </w:tblCellMar>
        </w:tblPrEx>
        <w:trPr>
          <w:trHeight w:val="480" w:hRule="atLeast"/>
          <w:jc w:val="center"/>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一级</w:t>
            </w:r>
          </w:p>
          <w:p>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二级</w:t>
            </w:r>
          </w:p>
          <w:p>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w:t>
            </w: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三级</w:t>
            </w:r>
          </w:p>
          <w:p>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w:t>
            </w:r>
          </w:p>
        </w:tc>
        <w:tc>
          <w:tcPr>
            <w:tcW w:w="258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评价内容</w:t>
            </w:r>
          </w:p>
        </w:tc>
        <w:tc>
          <w:tcPr>
            <w:tcW w:w="3578" w:type="dxa"/>
            <w:vMerge w:val="restart"/>
            <w:tcBorders>
              <w:top w:val="nil"/>
              <w:left w:val="single" w:color="auto" w:sz="4" w:space="0"/>
              <w:bottom w:val="single" w:color="000000" w:sz="4" w:space="0"/>
              <w:right w:val="single" w:color="auto" w:sz="4" w:space="0"/>
            </w:tcBorders>
            <w:shd w:val="clear" w:color="auto" w:fill="auto"/>
            <w:vAlign w:val="center"/>
          </w:tcPr>
          <w:p>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评价标准</w:t>
            </w:r>
          </w:p>
        </w:tc>
        <w:tc>
          <w:tcPr>
            <w:tcW w:w="791" w:type="dxa"/>
            <w:vMerge w:val="restart"/>
            <w:tcBorders>
              <w:top w:val="nil"/>
              <w:left w:val="single" w:color="auto" w:sz="4" w:space="0"/>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评价  得分</w:t>
            </w:r>
          </w:p>
        </w:tc>
        <w:tc>
          <w:tcPr>
            <w:tcW w:w="1742" w:type="dxa"/>
            <w:vMerge w:val="restart"/>
            <w:tcBorders>
              <w:top w:val="nil"/>
              <w:left w:val="nil"/>
              <w:bottom w:val="single" w:color="000000" w:sz="4" w:space="0"/>
              <w:right w:val="single" w:color="auto" w:sz="4" w:space="0"/>
            </w:tcBorders>
            <w:shd w:val="clear" w:color="auto" w:fill="auto"/>
            <w:vAlign w:val="center"/>
          </w:tcPr>
          <w:p>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备注</w:t>
            </w:r>
          </w:p>
        </w:tc>
      </w:tr>
      <w:tr>
        <w:tblPrEx>
          <w:tblCellMar>
            <w:top w:w="0" w:type="dxa"/>
            <w:left w:w="108" w:type="dxa"/>
            <w:bottom w:w="0" w:type="dxa"/>
            <w:right w:w="108" w:type="dxa"/>
          </w:tblCellMar>
        </w:tblPrEx>
        <w:trPr>
          <w:trHeight w:val="48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b/>
                <w:bCs/>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b/>
                <w:bCs/>
                <w:color w:val="000000"/>
                <w:sz w:val="28"/>
                <w:szCs w:val="28"/>
              </w:rPr>
            </w:pPr>
          </w:p>
        </w:tc>
        <w:tc>
          <w:tcPr>
            <w:tcW w:w="580"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b/>
                <w:bCs/>
                <w:color w:val="000000"/>
                <w:sz w:val="28"/>
                <w:szCs w:val="28"/>
              </w:rPr>
            </w:pPr>
          </w:p>
        </w:tc>
        <w:tc>
          <w:tcPr>
            <w:tcW w:w="2587" w:type="dxa"/>
            <w:vMerge w:val="continue"/>
            <w:tcBorders>
              <w:top w:val="single" w:color="auto" w:sz="4" w:space="0"/>
              <w:left w:val="single" w:color="auto" w:sz="4" w:space="0"/>
              <w:bottom w:val="single" w:color="000000" w:sz="4" w:space="0"/>
              <w:right w:val="single" w:color="000000" w:sz="4" w:space="0"/>
            </w:tcBorders>
            <w:vAlign w:val="center"/>
          </w:tcPr>
          <w:p>
            <w:pPr>
              <w:spacing w:line="480" w:lineRule="exact"/>
              <w:rPr>
                <w:rFonts w:ascii="仿宋" w:hAnsi="仿宋" w:eastAsia="仿宋" w:cs="仿宋"/>
                <w:b/>
                <w:bCs/>
                <w:color w:val="000000"/>
                <w:sz w:val="28"/>
                <w:szCs w:val="28"/>
              </w:rPr>
            </w:pPr>
          </w:p>
        </w:tc>
        <w:tc>
          <w:tcPr>
            <w:tcW w:w="357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b/>
                <w:bCs/>
                <w:color w:val="000000"/>
                <w:sz w:val="28"/>
                <w:szCs w:val="28"/>
              </w:rPr>
            </w:pPr>
          </w:p>
        </w:tc>
        <w:tc>
          <w:tcPr>
            <w:tcW w:w="791"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b/>
                <w:bCs/>
                <w:sz w:val="28"/>
                <w:szCs w:val="28"/>
              </w:rPr>
            </w:pPr>
          </w:p>
        </w:tc>
        <w:tc>
          <w:tcPr>
            <w:tcW w:w="1742" w:type="dxa"/>
            <w:vMerge w:val="continue"/>
            <w:tcBorders>
              <w:top w:val="nil"/>
              <w:left w:val="nil"/>
              <w:bottom w:val="single" w:color="000000" w:sz="4" w:space="0"/>
              <w:right w:val="single" w:color="auto" w:sz="4" w:space="0"/>
            </w:tcBorders>
            <w:vAlign w:val="center"/>
          </w:tcPr>
          <w:p>
            <w:pPr>
              <w:spacing w:line="480" w:lineRule="exact"/>
              <w:rPr>
                <w:rFonts w:ascii="仿宋" w:hAnsi="仿宋" w:eastAsia="仿宋" w:cs="仿宋"/>
                <w:b/>
                <w:bCs/>
                <w:sz w:val="28"/>
                <w:szCs w:val="28"/>
              </w:rPr>
            </w:pPr>
          </w:p>
        </w:tc>
      </w:tr>
      <w:tr>
        <w:tblPrEx>
          <w:tblCellMar>
            <w:top w:w="0" w:type="dxa"/>
            <w:left w:w="108" w:type="dxa"/>
            <w:bottom w:w="0" w:type="dxa"/>
            <w:right w:w="108" w:type="dxa"/>
          </w:tblCellMar>
        </w:tblPrEx>
        <w:trPr>
          <w:trHeight w:val="270" w:hRule="atLeast"/>
          <w:jc w:val="center"/>
        </w:trPr>
        <w:tc>
          <w:tcPr>
            <w:tcW w:w="7864"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评价得分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98　</w:t>
            </w:r>
          </w:p>
        </w:tc>
        <w:tc>
          <w:tcPr>
            <w:tcW w:w="1742" w:type="dxa"/>
            <w:tcBorders>
              <w:top w:val="nil"/>
              <w:left w:val="nil"/>
              <w:bottom w:val="nil"/>
              <w:right w:val="single" w:color="auto" w:sz="4" w:space="0"/>
            </w:tcBorders>
            <w:shd w:val="clear" w:color="auto" w:fill="auto"/>
            <w:vAlign w:val="center"/>
          </w:tcPr>
          <w:p>
            <w:pPr>
              <w:spacing w:line="480" w:lineRule="exact"/>
              <w:jc w:val="center"/>
              <w:rPr>
                <w:rFonts w:ascii="仿宋" w:hAnsi="仿宋" w:eastAsia="仿宋" w:cs="仿宋"/>
                <w:b/>
                <w:bCs/>
                <w:sz w:val="28"/>
                <w:szCs w:val="28"/>
              </w:rPr>
            </w:pPr>
            <w:r>
              <w:rPr>
                <w:rFonts w:hint="eastAsia" w:ascii="仿宋" w:hAnsi="仿宋" w:eastAsia="仿宋" w:cs="仿宋"/>
                <w:b/>
                <w:bCs/>
                <w:sz w:val="28"/>
                <w:szCs w:val="28"/>
              </w:rPr>
              <w:t>　</w:t>
            </w:r>
          </w:p>
        </w:tc>
      </w:tr>
      <w:tr>
        <w:tblPrEx>
          <w:tblCellMar>
            <w:top w:w="0" w:type="dxa"/>
            <w:left w:w="108" w:type="dxa"/>
            <w:bottom w:w="0" w:type="dxa"/>
            <w:right w:w="108" w:type="dxa"/>
          </w:tblCellMar>
        </w:tblPrEx>
        <w:trPr>
          <w:trHeight w:val="270" w:hRule="atLeast"/>
          <w:jc w:val="center"/>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 目 决 策</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设立</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(5分)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立项</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依据</w:t>
            </w: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1.项目设立是否有明确政策规定(0.5分)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有规定且当年必须安排(0.5分)；无明确规定(0分)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0.5</w:t>
            </w:r>
          </w:p>
        </w:tc>
        <w:tc>
          <w:tcPr>
            <w:tcW w:w="1742" w:type="dxa"/>
            <w:vMerge w:val="restart"/>
            <w:tcBorders>
              <w:top w:val="single" w:color="auto" w:sz="4" w:space="0"/>
              <w:left w:val="single" w:color="auto" w:sz="4" w:space="0"/>
              <w:bottom w:val="nil"/>
              <w:right w:val="single" w:color="auto" w:sz="4" w:space="0"/>
            </w:tcBorders>
            <w:shd w:val="clear" w:color="auto" w:fill="auto"/>
          </w:tcPr>
          <w:p>
            <w:pPr>
              <w:spacing w:line="480" w:lineRule="exact"/>
              <w:rPr>
                <w:rFonts w:ascii="仿宋" w:hAnsi="仿宋" w:eastAsia="仿宋" w:cs="仿宋"/>
                <w:sz w:val="28"/>
                <w:szCs w:val="28"/>
              </w:rPr>
            </w:pPr>
            <w:r>
              <w:rPr>
                <w:rFonts w:hint="eastAsia" w:ascii="仿宋" w:hAnsi="仿宋" w:eastAsia="仿宋" w:cs="仿宋"/>
                <w:sz w:val="28"/>
                <w:szCs w:val="28"/>
              </w:rPr>
              <w:t>∑np。其中：n-抽样现场评价点指标得分情况；p-单个抽样项目点财政补助资金/所有抽样项目点财政资金总额</w:t>
            </w:r>
          </w:p>
        </w:tc>
      </w:tr>
      <w:tr>
        <w:tblPrEx>
          <w:tblCellMar>
            <w:top w:w="0" w:type="dxa"/>
            <w:left w:w="108" w:type="dxa"/>
            <w:bottom w:w="0" w:type="dxa"/>
            <w:right w:w="108" w:type="dxa"/>
          </w:tblCellMar>
        </w:tblPrEx>
        <w:trPr>
          <w:trHeight w:val="42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2.项目是否为促进事业发展所必需(1分)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围绕保障重点,紧扣发展大局(1分)；满足部门运转需要(0.5分)；不切合本地实际，实施效果较差（0分）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3.文件依据、相关资料提供是否完整、充分(1分)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资料完整、充分（1分）；有依据但提供不完整(0.5分)；未提供相关资料（0分）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立项</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程序</w:t>
            </w: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1.是否按规定程序申请设立(0.5分)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符合相关程序（0.5分）；不符合相关程序（0分）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2.是否经过可研论证、风险评估、集体决策等(1分)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评估论证报告或决策记录完整(1分)；评估论证报告或决策记录不完整(0.5分)；未评估论证或集体决策（0分）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3.是否通过单位表决一致通过立项（1分）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有单位表决文件资料或</w:t>
            </w:r>
            <w:r>
              <w:rPr>
                <w:rFonts w:hint="eastAsia" w:ascii="仿宋" w:hAnsi="仿宋" w:eastAsia="仿宋" w:cs="仿宋"/>
                <w:color w:val="000000"/>
                <w:sz w:val="28"/>
                <w:szCs w:val="28"/>
                <w:lang w:eastAsia="zh-CN"/>
              </w:rPr>
              <w:t>会议纪要</w:t>
            </w:r>
            <w:r>
              <w:rPr>
                <w:rFonts w:hint="eastAsia" w:ascii="仿宋" w:hAnsi="仿宋" w:eastAsia="仿宋" w:cs="仿宋"/>
                <w:color w:val="000000"/>
                <w:sz w:val="28"/>
                <w:szCs w:val="28"/>
              </w:rPr>
              <w:t>（1分）；无任何资料（0分）</w:t>
            </w:r>
            <w:bookmarkStart w:id="0" w:name="_GoBack"/>
            <w:bookmarkEnd w:id="0"/>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绩效</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目标</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(8分)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目标设定</w:t>
            </w: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1.是否按年度计划编报绩效目标(1分)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已报送绩效计划且目标明确(1分)；已报送绩效计划但目标不明确(0.5分)；未报送绩效计划(0分)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2.绩效目标是否符合国家相关法律、法规、国民经济发展规划和县委、县政府决策(0.5分)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与文件规定或政府下达的任务数相一致(0.5分)；与文件规定或政府下达的任务数有差距(0分)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3.绩效目标是否符合客观实际，切实可行(0.5分)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单位申报数控制在财政审定数或实际完成数的2倍以内(0.5分)；大于2倍小于3倍（0.5分）；大于3倍（0分）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4.绩效目标是否清晰、细化、可衡量，相关指标能否恰当准确反映绩效目标完成程度（1分）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目标细化,指标具体、恰当(1分）；目标较粗略，考核指标不完整（0.5分）；目标未细化到具体指标（0分）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63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spacing w:line="480" w:lineRule="exact"/>
              <w:rPr>
                <w:rFonts w:ascii="仿宋" w:hAnsi="仿宋" w:eastAsia="仿宋" w:cs="仿宋"/>
                <w:color w:val="0D0D0D"/>
                <w:sz w:val="28"/>
                <w:szCs w:val="28"/>
              </w:rPr>
            </w:pPr>
            <w:r>
              <w:rPr>
                <w:rFonts w:hint="eastAsia" w:ascii="仿宋" w:hAnsi="仿宋" w:eastAsia="仿宋" w:cs="仿宋"/>
                <w:color w:val="0D0D0D"/>
                <w:sz w:val="28"/>
                <w:szCs w:val="28"/>
              </w:rPr>
              <w:t>5.实施计划是否科学合理，并符合相关技术规范(1分)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符合相关规范且按计划实施(1分)；符合相关规范但实施进度与实际有差距(0.5分)；不符合相关技术规范（0分）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D0D0D"/>
                <w:sz w:val="28"/>
                <w:szCs w:val="28"/>
              </w:rPr>
            </w:pPr>
            <w:r>
              <w:rPr>
                <w:rFonts w:hint="eastAsia" w:ascii="仿宋" w:hAnsi="仿宋" w:eastAsia="仿宋" w:cs="仿宋"/>
                <w:color w:val="0D0D0D"/>
                <w:sz w:val="28"/>
                <w:szCs w:val="28"/>
              </w:rPr>
              <w:t>6.绩效目标管理措施是否得当，分工是否明确、责任是否落实(1分)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措施得当，分工明确，责任落实（1分）；有措施但分工不明确,责任不落实（0.5分）；无管理措施（0分）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spacing w:line="480" w:lineRule="exact"/>
              <w:rPr>
                <w:rFonts w:ascii="仿宋" w:hAnsi="仿宋" w:eastAsia="仿宋" w:cs="仿宋"/>
                <w:color w:val="0D0D0D"/>
                <w:sz w:val="28"/>
                <w:szCs w:val="28"/>
              </w:rPr>
            </w:pPr>
            <w:r>
              <w:rPr>
                <w:rFonts w:hint="eastAsia" w:ascii="仿宋" w:hAnsi="仿宋" w:eastAsia="仿宋" w:cs="仿宋"/>
                <w:color w:val="0D0D0D"/>
                <w:sz w:val="28"/>
                <w:szCs w:val="28"/>
              </w:rPr>
              <w:t>7.预期产出和效益、效果是否符合正常业绩水平(1分)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符合（1分），基本符合（0.5分）；不符合（0分）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D0D0D"/>
                <w:sz w:val="28"/>
                <w:szCs w:val="28"/>
              </w:rPr>
            </w:pPr>
            <w:r>
              <w:rPr>
                <w:rFonts w:hint="eastAsia" w:ascii="仿宋" w:hAnsi="仿宋" w:eastAsia="仿宋" w:cs="仿宋"/>
                <w:color w:val="0D0D0D"/>
                <w:sz w:val="28"/>
                <w:szCs w:val="28"/>
              </w:rPr>
              <w:t>8.绩效目标是否与经费预算相衔接，是否符合当地发展水平(0.5分)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衔接紧密且符合实际(0.5分)；不相衔接且不符合实际(0分)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目标</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调整</w:t>
            </w:r>
          </w:p>
        </w:tc>
        <w:tc>
          <w:tcPr>
            <w:tcW w:w="2587" w:type="dxa"/>
            <w:tcBorders>
              <w:top w:val="single" w:color="auto" w:sz="4" w:space="0"/>
              <w:left w:val="nil"/>
              <w:bottom w:val="single" w:color="auto"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1.项目预算调整是否及时报送绩效目标调整方案(1分)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同步报送(1分)；未报送（0分）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2.目标修订或调整方案是否按程序报批和备案（0.5分）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按程序报批和备案（0.5分）；未报批、备案（0分）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经费</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安排</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(7分)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标准</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控制</w:t>
            </w:r>
          </w:p>
        </w:tc>
        <w:tc>
          <w:tcPr>
            <w:tcW w:w="2587" w:type="dxa"/>
            <w:tcBorders>
              <w:top w:val="single" w:color="auto" w:sz="4" w:space="0"/>
              <w:left w:val="nil"/>
              <w:bottom w:val="single" w:color="auto"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1.经费测算是否符合有关要求和定额标准（0.5分）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符合(0.5分)；与相关规定和定额标准有差异(0分)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2.经费预算是否与财力水平相适应（1分）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单位申报额控制在财政审定或实际支出额的2倍以内（1分）；大于2倍小于3倍（0.5分）；大于3倍（0分）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3.是否体现厉行节约禁止铺张浪费有关规定（0.5分）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测算细致且有节支措施(0.5分)；经费测算随意性较大(0分)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4.经费预算是否与设定的绩效目标相符合（1分）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相符（1分）；基本相符（0.5分）；不相符（0分）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63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预算</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约束</w:t>
            </w:r>
          </w:p>
        </w:tc>
        <w:tc>
          <w:tcPr>
            <w:tcW w:w="2587" w:type="dxa"/>
            <w:tcBorders>
              <w:top w:val="single" w:color="auto" w:sz="4" w:space="0"/>
              <w:left w:val="nil"/>
              <w:bottom w:val="single" w:color="000000"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1.经费预算是否细化、具体、准确，具有可操作性（1分）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方案具体、细化，支出项目、金额有据可查(1分)；方案基本符合要求，支出项目、金额基本准确(0.5分)；方案粗略，开支项目、金额随意性较大(0分)</w:t>
            </w:r>
          </w:p>
        </w:tc>
        <w:tc>
          <w:tcPr>
            <w:tcW w:w="791" w:type="dxa"/>
            <w:tcBorders>
              <w:top w:val="nil"/>
              <w:left w:val="nil"/>
              <w:bottom w:val="single" w:color="000000"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single" w:color="000000" w:sz="4" w:space="0"/>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single" w:color="000000" w:sz="4" w:space="0"/>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p>
        </w:tc>
        <w:tc>
          <w:tcPr>
            <w:tcW w:w="2587" w:type="dxa"/>
            <w:tcBorders>
              <w:top w:val="single" w:color="000000"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2.资金用途和开支范围是否明确(1分)</w:t>
            </w:r>
          </w:p>
        </w:tc>
        <w:tc>
          <w:tcPr>
            <w:tcW w:w="3578"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用途明确、范围具体(1分)；用途、范围基本明确(0.5分)；支出用途、范围不明确（0分）</w:t>
            </w:r>
          </w:p>
        </w:tc>
        <w:tc>
          <w:tcPr>
            <w:tcW w:w="791" w:type="dxa"/>
            <w:tcBorders>
              <w:top w:val="single" w:color="000000"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000000"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3.资金支出进度是否明确、细化、科学合理(1分)</w:t>
            </w:r>
          </w:p>
        </w:tc>
        <w:tc>
          <w:tcPr>
            <w:tcW w:w="357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进度计划与项目实施衔接紧密(1分)；进度计划与项目实施基本保持一致(0.5分)；无进度计划(0分)</w:t>
            </w:r>
          </w:p>
        </w:tc>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4.有无预算约束控制措施(1分)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措施完善、细化(1分)；有措施，但不具体(0.5分)；措施缺失(0分)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目</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管</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理</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业务</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管理</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(15分)</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制度</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建设</w:t>
            </w: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1.是否制定质量、进度和安全管理等监管制度（1分）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制度健全(1分)；有但不完善(0.5分)；未制定(0分)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2.是否有相应的质量要求、安全规程和技术标准（1分）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已制定(1分)；未制定(0分)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3.内控措施是否健全，有无制度缺失或管理漏洞（1分）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制度健全有效（1分）；有内控制度但不完善（0.5分）；未制定且存在管理漏洞（0分）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4.制度、措施是否符合法律、法规规定,是否符合行业规定或相关技术规范（1分）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符合（1分），基本符合（0.5分）；不符合（0分）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组织</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实施</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1.是否按预定的业务内容组织实施,有无随意增减变更业务内容（1分）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严格按计划实施（1分）；经批准有增减变动（0.5分）；增减变动事项未经批准（0分）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2.是否严格按照相应的进度控制、技术规范和安全规程组织实施（1分）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严守规范、规程（1分）；有违规操作行为（0分）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3.投资变更、业务内容调整是否按规定程序审批(1分)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变更、调整程序合法，手续齐备（1分）；未经批准变更投资和业务内容（0分）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4.项目实施人员条件、场地设备、信息支撑等是否落实到位(1分)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落实到位(1分)；基本落实(0.5分)；未落实(0分)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5.内控制度是否得到有效执行，能否及时发现并有效解决实施过程的管理遗漏(1分)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落实较好且无责任事故发生(1分)；落实较差但无责任事故发生(0.5分)；未落实或有责任事故发生(0分)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6.项目合同书、验收报告、技术鉴定等项目实施资料是否齐全并及时归档(1分)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资料齐全,管理规范(1分)；建档立卷但不完整（0.5分）；无实施资料（0分）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监管</w:t>
            </w: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1.监管人员和监管技术手段等是否有效保障(1分)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保障到位(1分)；基本保障(0.5分)；监管人员和措施缺失(0分)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2.质量管理、进度控制、过程监管和安全管理等项目监管制度和措施是否落实(1分)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落实较好且无责任事故发生(1分)；落实较差但无责任事故发生(0.5分)；未落实或有责任事故发生(0分)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3.项目管理薄弱环节能否及时发现并采取有效对策(1分)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能及时发现且采取有效对策（1分）；能及时发现但未采取对策或未发现（0分）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4.项目监管意见能否及时反馈并得到落实(1分)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能（1分）；不能（0分）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5.项目监管资料是否齐全并及时归档(1分)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资料齐全,管理规范(1分)；建档立卷但不完整（0.5分）；无实施资料（0分）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财务</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管理</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(15分)</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财务</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制度</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1.财务管理内控制度是否健全规范(0.5分)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内控制度健全规范（0.5分）；内控制度不完善（0分）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2.是否制定相应的项目资金管理办法(0.5分)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已制定(0.5分)；未制定(0分)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3.项目资金管理办法是否符合财务会计制度规定(1分)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符合（1分），基本符合（0.5分）；不符合（0分）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资金</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分配</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1.资金分配程序是否合规(0.5分)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合规（0.5分）；不合规（0分）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2.资金分配范围是否符合要求(0.5分)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符合要求（0.5分）；不符合要求（0分）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3.资金分配是否及时(0.5分)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及时（0.5分）；不及时（0分）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资金</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拨付</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1.资金拨付是否坚持规范的审批程序(1分)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审批程序规范(1分)；审批程序不规范(0.5分)；未审批(0分)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99"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2.资金拨付是否及时高效、简化便捷(1分)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手续便捷,及时高效(1分);手续繁杂</w:t>
            </w:r>
            <w:r>
              <w:rPr>
                <w:rFonts w:hint="eastAsia" w:ascii="仿宋" w:hAnsi="仿宋" w:eastAsia="仿宋" w:cs="仿宋"/>
                <w:b/>
                <w:bCs/>
                <w:color w:val="000000"/>
                <w:sz w:val="28"/>
                <w:szCs w:val="28"/>
              </w:rPr>
              <w:t>，</w:t>
            </w:r>
            <w:r>
              <w:rPr>
                <w:rFonts w:hint="eastAsia" w:ascii="仿宋" w:hAnsi="仿宋" w:eastAsia="仿宋" w:cs="仿宋"/>
                <w:color w:val="000000"/>
                <w:sz w:val="28"/>
                <w:szCs w:val="28"/>
              </w:rPr>
              <w:t>资金拨付不及时(0分)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3.是否严格执行国库集中支付和政府采购等制度(1分)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严格执行(1分)；未严格执行(0.5分)；未执行(0分)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auto" w:sz="4" w:space="0"/>
              <w:left w:val="single" w:color="000000" w:sz="4" w:space="0"/>
              <w:bottom w:val="single" w:color="000000"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4.是否按预算、按进度拨付资金,有无超拨欠拨(0.5分)</w:t>
            </w:r>
          </w:p>
        </w:tc>
        <w:tc>
          <w:tcPr>
            <w:tcW w:w="3578" w:type="dxa"/>
            <w:tcBorders>
              <w:top w:val="single" w:color="auto" w:sz="4" w:space="0"/>
              <w:left w:val="single" w:color="auto" w:sz="4" w:space="0"/>
              <w:bottom w:val="single" w:color="000000"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严格按预算按进度拨付(0.5分)；有超拨欠拨(0分)</w:t>
            </w:r>
          </w:p>
        </w:tc>
        <w:tc>
          <w:tcPr>
            <w:tcW w:w="791" w:type="dxa"/>
            <w:tcBorders>
              <w:top w:val="single" w:color="auto" w:sz="4" w:space="0"/>
              <w:left w:val="single" w:color="auto" w:sz="4" w:space="0"/>
              <w:bottom w:val="single" w:color="000000"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0.5</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5.是否有确保项目资金安全的措施并有效执行(1分)</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有措施且执行较好（1分）；有措施但落实较差（0.5分）；没有防范措施或发生资金安全事故（0分）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000000"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资金</w:t>
            </w:r>
          </w:p>
          <w:p>
            <w:pPr>
              <w:spacing w:line="480" w:lineRule="exact"/>
              <w:jc w:val="center"/>
              <w:rPr>
                <w:rFonts w:ascii="仿宋" w:hAnsi="仿宋" w:eastAsia="仿宋" w:cs="仿宋"/>
                <w:sz w:val="28"/>
                <w:szCs w:val="28"/>
              </w:rPr>
            </w:pPr>
            <w:r>
              <w:rPr>
                <w:rFonts w:hint="eastAsia" w:ascii="仿宋" w:hAnsi="仿宋" w:eastAsia="仿宋" w:cs="仿宋"/>
                <w:sz w:val="28"/>
                <w:szCs w:val="28"/>
              </w:rPr>
              <w:t>使用</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1.是否符合预算批复或合同规定的用途和范围(0.5分)</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符合(0.5分)，有超范围或指定用途的支出发生（0分）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0.5</w:t>
            </w:r>
          </w:p>
        </w:tc>
        <w:tc>
          <w:tcPr>
            <w:tcW w:w="1742" w:type="dxa"/>
            <w:vMerge w:val="continue"/>
            <w:tcBorders>
              <w:top w:val="single" w:color="auto" w:sz="4" w:space="0"/>
              <w:left w:val="single" w:color="000000"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sz w:val="28"/>
                <w:szCs w:val="28"/>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2.重大项目开支是否经过评估论证(0.5分)</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评估论证(0.5分)；未评估论证（0分）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0.5</w:t>
            </w:r>
          </w:p>
        </w:tc>
        <w:tc>
          <w:tcPr>
            <w:tcW w:w="1742" w:type="dxa"/>
            <w:vMerge w:val="continue"/>
            <w:tcBorders>
              <w:top w:val="single" w:color="auto" w:sz="4" w:space="0"/>
              <w:left w:val="single" w:color="000000"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sz w:val="28"/>
                <w:szCs w:val="28"/>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3.资金使用是否合法合规、真实有据(0.5分)</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合法合规、真实有据(0.5分)；有违规支出或依据不真实(0分)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0.5</w:t>
            </w:r>
          </w:p>
        </w:tc>
        <w:tc>
          <w:tcPr>
            <w:tcW w:w="1742" w:type="dxa"/>
            <w:vMerge w:val="continue"/>
            <w:tcBorders>
              <w:top w:val="single" w:color="auto" w:sz="4" w:space="0"/>
              <w:left w:val="single" w:color="000000"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sz w:val="28"/>
                <w:szCs w:val="28"/>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4.开支标准是否符合相关规定和定额管理要求(0.5分)</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符合(0.5分)；不符合(0分)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0.5</w:t>
            </w:r>
          </w:p>
        </w:tc>
        <w:tc>
          <w:tcPr>
            <w:tcW w:w="1742" w:type="dxa"/>
            <w:vMerge w:val="continue"/>
            <w:tcBorders>
              <w:top w:val="single" w:color="auto" w:sz="4" w:space="0"/>
              <w:left w:val="single" w:color="000000"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sz w:val="28"/>
                <w:szCs w:val="28"/>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5.是否存在截留、挤占、挪用、虚列支出等(0.5分)</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不存在（0.5分）；存在（0分）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0.5</w:t>
            </w:r>
          </w:p>
        </w:tc>
        <w:tc>
          <w:tcPr>
            <w:tcW w:w="1742" w:type="dxa"/>
            <w:vMerge w:val="continue"/>
            <w:tcBorders>
              <w:top w:val="single" w:color="auto" w:sz="4" w:space="0"/>
              <w:left w:val="single" w:color="000000"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仿宋" w:hAnsi="仿宋" w:eastAsia="仿宋" w:cs="仿宋"/>
                <w:color w:val="000000"/>
                <w:sz w:val="28"/>
                <w:szCs w:val="28"/>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财务</w:t>
            </w:r>
          </w:p>
          <w:p>
            <w:pPr>
              <w:spacing w:line="480" w:lineRule="exact"/>
              <w:jc w:val="center"/>
              <w:rPr>
                <w:rFonts w:ascii="仿宋" w:hAnsi="仿宋" w:eastAsia="仿宋" w:cs="仿宋"/>
                <w:sz w:val="28"/>
                <w:szCs w:val="28"/>
              </w:rPr>
            </w:pPr>
            <w:r>
              <w:rPr>
                <w:rFonts w:hint="eastAsia" w:ascii="仿宋" w:hAnsi="仿宋" w:eastAsia="仿宋" w:cs="仿宋"/>
                <w:sz w:val="28"/>
                <w:szCs w:val="28"/>
              </w:rPr>
              <w:t>监督</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1.财务管理制度、项目资金管理办法是否有效执行(1分)</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落实较好（1分）；落实较差（0.5）；管理混乱（0分）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000000"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270" w:hRule="atLeast"/>
          <w:jc w:val="center"/>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spacing w:line="480" w:lineRule="exact"/>
              <w:rPr>
                <w:rFonts w:ascii="仿宋" w:hAnsi="仿宋" w:eastAsia="仿宋" w:cs="仿宋"/>
                <w:sz w:val="28"/>
                <w:szCs w:val="28"/>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2.财务管理是否规范，是否符合国家法律、法规和财务规章制度规定(0.5分)</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规范（0.5分）；不规范（0分）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0.5</w:t>
            </w:r>
          </w:p>
        </w:tc>
        <w:tc>
          <w:tcPr>
            <w:tcW w:w="1742" w:type="dxa"/>
            <w:vMerge w:val="continue"/>
            <w:tcBorders>
              <w:top w:val="single" w:color="auto" w:sz="4" w:space="0"/>
              <w:left w:val="single" w:color="000000"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spacing w:line="480" w:lineRule="exact"/>
              <w:rPr>
                <w:rFonts w:ascii="仿宋" w:hAnsi="仿宋" w:eastAsia="仿宋" w:cs="仿宋"/>
                <w:sz w:val="28"/>
                <w:szCs w:val="28"/>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3.是否体现厉行节约、禁止奢侈浪费、注重资金使用效益的原则(1分)</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有节支措施且执行较好（1分）；有节支措施但执行较差（0.5分）；无节支措施（0分）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000000"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spacing w:line="480" w:lineRule="exact"/>
              <w:rPr>
                <w:rFonts w:ascii="仿宋" w:hAnsi="仿宋" w:eastAsia="仿宋" w:cs="仿宋"/>
                <w:sz w:val="28"/>
                <w:szCs w:val="28"/>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4.项目资金是否单独核算并分项目建立收支台账(0.5分)</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分项目单独核算(0.5分)；未对项目收支进行明细核算(0分)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0.5</w:t>
            </w:r>
          </w:p>
        </w:tc>
        <w:tc>
          <w:tcPr>
            <w:tcW w:w="1742" w:type="dxa"/>
            <w:vMerge w:val="continue"/>
            <w:tcBorders>
              <w:top w:val="single" w:color="auto" w:sz="4" w:space="0"/>
              <w:left w:val="single" w:color="000000"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spacing w:line="480" w:lineRule="exact"/>
              <w:rPr>
                <w:rFonts w:ascii="仿宋" w:hAnsi="仿宋" w:eastAsia="仿宋" w:cs="仿宋"/>
                <w:sz w:val="28"/>
                <w:szCs w:val="28"/>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5.账务处理是否及时、规范(0.5分)</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账务处理及时、核算规范(0.5分)；不及时、不规范(0分)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0.5</w:t>
            </w:r>
          </w:p>
        </w:tc>
        <w:tc>
          <w:tcPr>
            <w:tcW w:w="1742" w:type="dxa"/>
            <w:vMerge w:val="continue"/>
            <w:tcBorders>
              <w:top w:val="single" w:color="auto" w:sz="4" w:space="0"/>
              <w:left w:val="single" w:color="000000"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spacing w:line="480" w:lineRule="exact"/>
              <w:rPr>
                <w:rFonts w:ascii="仿宋" w:hAnsi="仿宋" w:eastAsia="仿宋" w:cs="仿宋"/>
                <w:sz w:val="28"/>
                <w:szCs w:val="28"/>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6.会计信息是否真实、完整，管理建议是否切合实际(1分)</w:t>
            </w:r>
          </w:p>
        </w:tc>
        <w:tc>
          <w:tcPr>
            <w:tcW w:w="357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真实、完整（1分）；基本真实、完整（0.5分）；有虚假信息或管理建议不切合实际（0分）</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1</w:t>
            </w:r>
          </w:p>
        </w:tc>
        <w:tc>
          <w:tcPr>
            <w:tcW w:w="1742" w:type="dxa"/>
            <w:vMerge w:val="continue"/>
            <w:tcBorders>
              <w:top w:val="single" w:color="auto" w:sz="4" w:space="0"/>
              <w:left w:val="single" w:color="000000"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630" w:hRule="atLeast"/>
          <w:jc w:val="center"/>
        </w:trPr>
        <w:tc>
          <w:tcPr>
            <w:tcW w:w="581"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目</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 xml:space="preserve">标 </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完</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成</w:t>
            </w:r>
          </w:p>
        </w:tc>
        <w:tc>
          <w:tcPr>
            <w:tcW w:w="538" w:type="dxa"/>
            <w:vMerge w:val="restart"/>
            <w:tcBorders>
              <w:top w:val="single" w:color="000000" w:sz="4" w:space="0"/>
              <w:left w:val="single" w:color="auto" w:sz="4" w:space="0"/>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产出</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(20分)</w:t>
            </w:r>
          </w:p>
        </w:tc>
        <w:tc>
          <w:tcPr>
            <w:tcW w:w="580" w:type="dxa"/>
            <w:tcBorders>
              <w:top w:val="single" w:color="000000" w:sz="4" w:space="0"/>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数量</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完成</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程度</w:t>
            </w:r>
          </w:p>
        </w:tc>
        <w:tc>
          <w:tcPr>
            <w:tcW w:w="2587" w:type="dxa"/>
            <w:tcBorders>
              <w:top w:val="single" w:color="000000"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产出数量完成率（用T表示），即项目实施的实际产出数量与计划产出数量的比率，反映项目产出数量目标的实现程度(5分)</w:t>
            </w:r>
          </w:p>
        </w:tc>
        <w:tc>
          <w:tcPr>
            <w:tcW w:w="3578" w:type="dxa"/>
            <w:tcBorders>
              <w:top w:val="single" w:color="000000"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T≥100%(5分)；90%≤T＜100%(3分）</w:t>
            </w:r>
            <w:r>
              <w:rPr>
                <w:rFonts w:hint="eastAsia" w:ascii="仿宋" w:hAnsi="仿宋" w:eastAsia="仿宋" w:cs="仿宋"/>
                <w:b/>
                <w:bCs/>
                <w:color w:val="000000"/>
                <w:sz w:val="28"/>
                <w:szCs w:val="28"/>
              </w:rPr>
              <w:t>；</w:t>
            </w:r>
            <w:r>
              <w:rPr>
                <w:rFonts w:hint="eastAsia" w:ascii="仿宋" w:hAnsi="仿宋" w:eastAsia="仿宋" w:cs="仿宋"/>
                <w:color w:val="000000"/>
                <w:sz w:val="28"/>
                <w:szCs w:val="28"/>
              </w:rPr>
              <w:t>80%≤T＜90%(2分）</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；T＜80%(0分）</w:t>
            </w:r>
          </w:p>
        </w:tc>
        <w:tc>
          <w:tcPr>
            <w:tcW w:w="791" w:type="dxa"/>
            <w:tcBorders>
              <w:top w:val="single" w:color="000000"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5</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63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质量</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完成</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质量达标率（用S表示），即项目完成的质量达标产出数与实际产出数的比率，反映项目产出质量目标的实现程度(5分)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S≥95%(5分)；90%≤S＜95%(3分）；80%≤S＜90%(2分）</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；S＜80%(0分）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5</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63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时效</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完成</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完成及时率(用H表示），即项目实际提前完成时间与计划完成时间的比率，反映项目产出时效目标的实现程度(5分)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H≥0（5分）；H＜0(0分）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5</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63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投资</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控制</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投资节约额（用N表示），即完成项目预定目标的实际投资节约额与预定投资额的比率；反映项目投资控制的效果(5分)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N≥0（5分）；-10%≤N＜0(3分）；N＜-10%(0分）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5</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目</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效</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果</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效益</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(30分)</w:t>
            </w:r>
          </w:p>
        </w:tc>
        <w:tc>
          <w:tcPr>
            <w:tcW w:w="580"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经济</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项目实施对经济发展所带来的直接或间接影响(6分)</w:t>
            </w:r>
          </w:p>
        </w:tc>
        <w:tc>
          <w:tcPr>
            <w:tcW w:w="3578" w:type="dxa"/>
            <w:vMerge w:val="restart"/>
            <w:tcBorders>
              <w:top w:val="nil"/>
              <w:left w:val="single" w:color="auto" w:sz="4" w:space="0"/>
              <w:bottom w:val="single" w:color="000000"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根据各项目具体特点不同相应设定相应的个性化评价指标和评价标准</w:t>
            </w:r>
          </w:p>
        </w:tc>
        <w:tc>
          <w:tcPr>
            <w:tcW w:w="791" w:type="dxa"/>
            <w:vMerge w:val="restart"/>
            <w:tcBorders>
              <w:top w:val="nil"/>
              <w:left w:val="single" w:color="auto" w:sz="4" w:space="0"/>
              <w:bottom w:val="single" w:color="000000"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22　</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社会</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项目实施对社会发展所带来的直接或间接影响(6分)</w:t>
            </w:r>
          </w:p>
        </w:tc>
        <w:tc>
          <w:tcPr>
            <w:tcW w:w="357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79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生态</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项目实施对生态环境所带来的直接或间接影响(6分)</w:t>
            </w:r>
          </w:p>
        </w:tc>
        <w:tc>
          <w:tcPr>
            <w:tcW w:w="357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79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42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可持续</w:t>
            </w:r>
          </w:p>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影响</w:t>
            </w: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项目后续运行及成效发挥的可持续影响(6分)</w:t>
            </w:r>
          </w:p>
        </w:tc>
        <w:tc>
          <w:tcPr>
            <w:tcW w:w="3578"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79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630" w:hRule="atLeast"/>
          <w:jc w:val="center"/>
        </w:trPr>
        <w:tc>
          <w:tcPr>
            <w:tcW w:w="581" w:type="dxa"/>
            <w:vMerge w:val="continue"/>
            <w:tcBorders>
              <w:top w:val="nil"/>
              <w:left w:val="single" w:color="auto" w:sz="4" w:space="0"/>
              <w:bottom w:val="single" w:color="000000" w:sz="4" w:space="0"/>
              <w:right w:val="single" w:color="auto" w:sz="4" w:space="0"/>
            </w:tcBorders>
            <w:vAlign w:val="center"/>
          </w:tcPr>
          <w:p>
            <w:pPr>
              <w:spacing w:line="480" w:lineRule="exact"/>
              <w:rPr>
                <w:rFonts w:ascii="仿宋" w:hAnsi="仿宋" w:eastAsia="仿宋" w:cs="仿宋"/>
                <w:color w:val="000000"/>
                <w:sz w:val="28"/>
                <w:szCs w:val="28"/>
              </w:rPr>
            </w:pPr>
          </w:p>
        </w:tc>
        <w:tc>
          <w:tcPr>
            <w:tcW w:w="538" w:type="dxa"/>
            <w:vMerge w:val="continue"/>
            <w:tcBorders>
              <w:top w:val="nil"/>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sz w:val="28"/>
                <w:szCs w:val="28"/>
              </w:rPr>
            </w:pPr>
          </w:p>
        </w:tc>
        <w:tc>
          <w:tcPr>
            <w:tcW w:w="580" w:type="dxa"/>
            <w:tcBorders>
              <w:top w:val="nil"/>
              <w:left w:val="nil"/>
              <w:bottom w:val="single" w:color="auto" w:sz="4" w:space="0"/>
              <w:right w:val="single" w:color="auto"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社会满意程度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社会满意程度（用R表示），即社会公众或服务对象对项目实施效果的满意程度(6分)</w:t>
            </w:r>
          </w:p>
        </w:tc>
        <w:tc>
          <w:tcPr>
            <w:tcW w:w="3578"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R≥90%（6分）；80%≤R＜90%(4分）；70%≤R＜80%(2分）</w:t>
            </w:r>
          </w:p>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；R＜70%(0分）</w:t>
            </w:r>
          </w:p>
        </w:tc>
        <w:tc>
          <w:tcPr>
            <w:tcW w:w="791" w:type="dxa"/>
            <w:tcBorders>
              <w:top w:val="nil"/>
              <w:left w:val="nil"/>
              <w:bottom w:val="single" w:color="auto"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6</w:t>
            </w:r>
          </w:p>
        </w:tc>
        <w:tc>
          <w:tcPr>
            <w:tcW w:w="1742" w:type="dxa"/>
            <w:vMerge w:val="continue"/>
            <w:tcBorders>
              <w:top w:val="single" w:color="auto" w:sz="4" w:space="0"/>
              <w:left w:val="single" w:color="auto" w:sz="4" w:space="0"/>
              <w:bottom w:val="nil"/>
              <w:right w:val="single" w:color="auto" w:sz="4" w:space="0"/>
            </w:tcBorders>
            <w:vAlign w:val="center"/>
          </w:tcPr>
          <w:p>
            <w:pPr>
              <w:spacing w:line="480" w:lineRule="exact"/>
              <w:rPr>
                <w:rFonts w:ascii="仿宋" w:hAnsi="仿宋" w:eastAsia="仿宋" w:cs="仿宋"/>
                <w:sz w:val="28"/>
                <w:szCs w:val="28"/>
              </w:rPr>
            </w:pPr>
          </w:p>
        </w:tc>
      </w:tr>
      <w:tr>
        <w:tblPrEx>
          <w:tblCellMar>
            <w:top w:w="0" w:type="dxa"/>
            <w:left w:w="108" w:type="dxa"/>
            <w:bottom w:w="0" w:type="dxa"/>
            <w:right w:w="108" w:type="dxa"/>
          </w:tblCellMar>
        </w:tblPrEx>
        <w:trPr>
          <w:trHeight w:val="720" w:hRule="atLeast"/>
          <w:jc w:val="center"/>
        </w:trPr>
        <w:tc>
          <w:tcPr>
            <w:tcW w:w="1699"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spacing w:line="48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扣分项（-5分）</w:t>
            </w:r>
          </w:p>
        </w:tc>
        <w:tc>
          <w:tcPr>
            <w:tcW w:w="2587" w:type="dxa"/>
            <w:tcBorders>
              <w:top w:val="single" w:color="auto" w:sz="4" w:space="0"/>
              <w:left w:val="nil"/>
              <w:bottom w:val="single" w:color="000000" w:sz="4" w:space="0"/>
              <w:right w:val="single" w:color="000000"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被评价单位配合评价工作情况</w:t>
            </w:r>
          </w:p>
        </w:tc>
        <w:tc>
          <w:tcPr>
            <w:tcW w:w="3578" w:type="dxa"/>
            <w:tcBorders>
              <w:top w:val="nil"/>
              <w:left w:val="nil"/>
              <w:bottom w:val="single" w:color="000000" w:sz="4" w:space="0"/>
              <w:right w:val="single" w:color="auto" w:sz="4" w:space="0"/>
            </w:tcBorders>
            <w:shd w:val="clear" w:color="auto" w:fill="auto"/>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财政重点评价过程中，发现评价对像拖延推诿、提交资料不及时等不配合评价工作的，经报县财政局确认后每次扣1分，最高扣5分</w:t>
            </w:r>
          </w:p>
        </w:tc>
        <w:tc>
          <w:tcPr>
            <w:tcW w:w="791" w:type="dxa"/>
            <w:tcBorders>
              <w:top w:val="nil"/>
              <w:left w:val="nil"/>
              <w:bottom w:val="single" w:color="000000" w:sz="4" w:space="0"/>
              <w:right w:val="single" w:color="auto" w:sz="4" w:space="0"/>
            </w:tcBorders>
            <w:shd w:val="clear" w:color="auto" w:fill="auto"/>
            <w:noWrap/>
            <w:vAlign w:val="center"/>
          </w:tcPr>
          <w:p>
            <w:pPr>
              <w:spacing w:line="480" w:lineRule="exact"/>
              <w:rPr>
                <w:rFonts w:ascii="仿宋" w:hAnsi="仿宋" w:eastAsia="仿宋" w:cs="仿宋"/>
                <w:color w:val="000000"/>
                <w:sz w:val="28"/>
                <w:szCs w:val="28"/>
              </w:rPr>
            </w:pPr>
            <w:r>
              <w:rPr>
                <w:rFonts w:hint="eastAsia" w:ascii="仿宋" w:hAnsi="仿宋" w:eastAsia="仿宋" w:cs="仿宋"/>
                <w:color w:val="000000"/>
                <w:sz w:val="28"/>
                <w:szCs w:val="28"/>
              </w:rPr>
              <w:t>　</w:t>
            </w:r>
          </w:p>
        </w:tc>
        <w:tc>
          <w:tcPr>
            <w:tcW w:w="1742" w:type="dxa"/>
            <w:tcBorders>
              <w:top w:val="nil"/>
              <w:left w:val="nil"/>
              <w:bottom w:val="single" w:color="000000" w:sz="4" w:space="0"/>
              <w:right w:val="single" w:color="000000" w:sz="4" w:space="0"/>
            </w:tcBorders>
            <w:shd w:val="clear" w:color="auto" w:fill="auto"/>
            <w:noWrap/>
            <w:vAlign w:val="center"/>
          </w:tcPr>
          <w:p>
            <w:pPr>
              <w:spacing w:line="480" w:lineRule="exact"/>
              <w:rPr>
                <w:rFonts w:ascii="仿宋" w:hAnsi="仿宋" w:eastAsia="仿宋" w:cs="仿宋"/>
                <w:color w:val="000000"/>
                <w:sz w:val="28"/>
                <w:szCs w:val="28"/>
              </w:rPr>
            </w:pPr>
          </w:p>
          <w:p>
            <w:pPr>
              <w:spacing w:line="480" w:lineRule="exact"/>
              <w:rPr>
                <w:rFonts w:ascii="仿宋" w:hAnsi="仿宋" w:eastAsia="仿宋" w:cs="仿宋"/>
                <w:color w:val="000000"/>
                <w:sz w:val="28"/>
                <w:szCs w:val="28"/>
              </w:rPr>
            </w:pPr>
          </w:p>
          <w:p>
            <w:pPr>
              <w:spacing w:line="480" w:lineRule="exact"/>
              <w:rPr>
                <w:rFonts w:ascii="仿宋" w:hAnsi="仿宋" w:eastAsia="仿宋" w:cs="仿宋"/>
                <w:color w:val="000000"/>
                <w:sz w:val="28"/>
                <w:szCs w:val="28"/>
              </w:rPr>
            </w:pPr>
          </w:p>
        </w:tc>
      </w:tr>
    </w:tbl>
    <w:p/>
    <w:sectPr>
      <w:pgSz w:w="11906" w:h="16838"/>
      <w:pgMar w:top="2098"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M5MzAyZTIxMmZiYjQ2ZTllMjhiMDY0OTkwM2JiOTcifQ=="/>
  </w:docVars>
  <w:rsids>
    <w:rsidRoot w:val="001A04B9"/>
    <w:rsid w:val="001A04B9"/>
    <w:rsid w:val="003543A4"/>
    <w:rsid w:val="009C3D1F"/>
    <w:rsid w:val="00C80274"/>
    <w:rsid w:val="14C75028"/>
    <w:rsid w:val="18415C7D"/>
    <w:rsid w:val="1A404E5B"/>
    <w:rsid w:val="7C542FA6"/>
    <w:rsid w:val="FFF28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4212</Words>
  <Characters>4697</Characters>
  <Lines>10</Lines>
  <Paragraphs>10</Paragraphs>
  <TotalTime>14</TotalTime>
  <ScaleCrop>false</ScaleCrop>
  <LinksUpToDate>false</LinksUpToDate>
  <CharactersWithSpaces>4767</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2022-07-18T16:09:00Z</dcterms:created>
  <dc:creator>86134</dc:creator>
  <cp:lastModifiedBy>流星追忆</cp:lastModifiedBy>
  <cp:lastPrinted>2022-07-25T15:12:00Z</cp:lastPrinted>
  <dcterms:modified xsi:type="dcterms:W3CDTF">2024-12-19T11:01:52Z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8EFC5CD1BE59490D9B211F6C821304B3</vt:lpwstr>
  </property>
</Properties>
</file>