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南江金悦府物业管理服务有限</w:t>
      </w:r>
      <w:r>
        <w:rPr>
          <w:rFonts w:hint="eastAsia" w:ascii="方正小标宋简体" w:eastAsia="方正小标宋简体"/>
          <w:sz w:val="40"/>
          <w:szCs w:val="40"/>
        </w:rPr>
        <w:t>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年至2024年企业经营及财务情况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6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南江金悦府物业管理服务有限</w:t>
      </w:r>
      <w:r>
        <w:rPr>
          <w:rFonts w:hint="eastAsia" w:ascii="仿宋_GB2312" w:eastAsia="仿宋_GB2312"/>
          <w:sz w:val="32"/>
          <w:szCs w:val="32"/>
        </w:rPr>
        <w:t>公司202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一、公示方式</w:t>
      </w:r>
      <w:r>
        <w:rPr>
          <w:rFonts w:hint="eastAsia" w:ascii="仿宋_GB2312" w:eastAsia="仿宋_GB2312"/>
          <w:sz w:val="32"/>
          <w:szCs w:val="32"/>
        </w:rPr>
        <w:t>：南江县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发展何改革局</w:t>
      </w:r>
      <w:r>
        <w:rPr>
          <w:rFonts w:hint="eastAsia" w:ascii="仿宋_GB2312" w:eastAsia="仿宋_GB2312"/>
          <w:sz w:val="32"/>
          <w:szCs w:val="32"/>
        </w:rPr>
        <w:t>网址公示。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二、公示时间：一个月，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三、公示内容：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南江金悦府物业管理服务有限</w:t>
      </w:r>
      <w:r>
        <w:rPr>
          <w:rFonts w:hint="eastAsia" w:ascii="仿宋_GB2312" w:eastAsia="仿宋_GB2312"/>
          <w:sz w:val="32"/>
          <w:szCs w:val="32"/>
        </w:rPr>
        <w:t>公司202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年至2024年企业经营状况以及财务报告情况。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南江金悦府物业管理服务有限</w:t>
      </w:r>
      <w:r>
        <w:rPr>
          <w:rFonts w:hint="eastAsia" w:ascii="仿宋_GB2312" w:eastAsia="仿宋_GB2312"/>
          <w:sz w:val="32"/>
          <w:szCs w:val="32"/>
        </w:rPr>
        <w:t>公司成立于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 xml:space="preserve"> 日，法定代表人：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陈建设</w:t>
      </w:r>
      <w:r>
        <w:rPr>
          <w:rFonts w:hint="eastAsia" w:ascii="仿宋_GB2312" w:eastAsia="仿宋_GB2312"/>
          <w:sz w:val="32"/>
          <w:szCs w:val="32"/>
        </w:rPr>
        <w:t xml:space="preserve">  ；公司类型：有限责任公司（自然人投资或控股）；统一社会信用代码为：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91511922MACDK6L0XQ</w:t>
      </w:r>
      <w:r>
        <w:rPr>
          <w:rFonts w:hint="eastAsia" w:ascii="仿宋_GB2312" w:eastAsia="仿宋_GB2312"/>
          <w:sz w:val="32"/>
          <w:szCs w:val="32"/>
        </w:rPr>
        <w:t xml:space="preserve"> ；经营场所：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南江县集州街道朝阳大道中咀大桥金悦府小区</w:t>
      </w:r>
      <w:r>
        <w:rPr>
          <w:rFonts w:hint="eastAsia" w:ascii="仿宋_GB2312" w:eastAsia="仿宋_GB2312"/>
          <w:sz w:val="32"/>
          <w:szCs w:val="32"/>
        </w:rPr>
        <w:t>；经营范围：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物业管理、物业服务评估、住房租赁、非租住房地产租赁、商业综合体管理服务、装卸搬运。</w:t>
      </w:r>
      <w:r>
        <w:rPr>
          <w:rFonts w:hint="eastAsia" w:ascii="仿宋_GB2312" w:eastAsia="仿宋_GB2312"/>
          <w:sz w:val="32"/>
          <w:szCs w:val="32"/>
        </w:rPr>
        <w:t>。公司现有职工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 xml:space="preserve"> 人,公司内部机构设有五个部门，即：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客户中心</w:t>
      </w:r>
      <w:r>
        <w:rPr>
          <w:rFonts w:hint="eastAsia" w:ascii="仿宋_GB2312" w:eastAsia="仿宋_GB2312"/>
          <w:sz w:val="32"/>
          <w:szCs w:val="32"/>
        </w:rPr>
        <w:t>、财务部、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秩序维护</w:t>
      </w:r>
      <w:r>
        <w:rPr>
          <w:rFonts w:hint="eastAsia" w:ascii="仿宋_GB2312" w:eastAsia="仿宋_GB2312"/>
          <w:sz w:val="32"/>
          <w:szCs w:val="32"/>
        </w:rPr>
        <w:t>部、工程部、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环境维护</w:t>
      </w:r>
      <w:r>
        <w:rPr>
          <w:rFonts w:hint="eastAsia" w:ascii="仿宋_GB2312" w:eastAsia="仿宋_GB2312"/>
          <w:sz w:val="32"/>
          <w:szCs w:val="32"/>
        </w:rPr>
        <w:t>部。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当前公司会计核算的全部内容为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南江金悦府物业管理服务有限</w:t>
      </w:r>
      <w:r>
        <w:rPr>
          <w:rFonts w:hint="eastAsia" w:ascii="仿宋_GB2312" w:eastAsia="仿宋_GB2312"/>
          <w:sz w:val="32"/>
          <w:szCs w:val="32"/>
        </w:rPr>
        <w:t>公司的资产、负债、收入、成本、费用和所有者权益情况；本次公示内容亦为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金悦府</w:t>
      </w:r>
      <w:r>
        <w:rPr>
          <w:rFonts w:hint="eastAsia" w:ascii="仿宋_GB2312" w:eastAsia="仿宋_GB2312"/>
          <w:sz w:val="32"/>
          <w:szCs w:val="32"/>
        </w:rPr>
        <w:t>小区的相关财务、成本数据。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（二）公示内容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南江金悦府物业管理服务有限</w:t>
      </w:r>
      <w:r>
        <w:rPr>
          <w:rFonts w:hint="eastAsia" w:ascii="仿宋_GB2312" w:eastAsia="仿宋_GB2312"/>
          <w:sz w:val="32"/>
          <w:szCs w:val="32"/>
        </w:rPr>
        <w:t>公司202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年至2024年资产、负债、经营成果及主要经营项目的经营成本。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6月</w:t>
      </w:r>
      <w:r>
        <w:rPr>
          <w:rFonts w:hint="eastAsia" w:ascii="仿宋_GB2312" w:eastAsia="仿宋_GB2312"/>
          <w:sz w:val="32"/>
          <w:szCs w:val="32"/>
        </w:rPr>
        <w:t>至2024年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南江金悦府物业管理服务</w:t>
      </w:r>
      <w:r>
        <w:rPr>
          <w:rFonts w:hint="eastAsia" w:ascii="仿宋_GB2312" w:eastAsia="仿宋_GB2312"/>
          <w:sz w:val="32"/>
          <w:szCs w:val="32"/>
        </w:rPr>
        <w:t>有限公司资产、负债情况见下表：</w:t>
      </w:r>
    </w:p>
    <w:tbl>
      <w:tblPr>
        <w:tblStyle w:val="4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269"/>
        <w:gridCol w:w="1122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年至2024年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南江金悦府物业管理服务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44.31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90.36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其中：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流动资产合计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41.94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89.04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65.49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其他资产合计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1.32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40.4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54.81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47.61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3.92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35.54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19.73</w:t>
            </w:r>
          </w:p>
        </w:tc>
      </w:tr>
    </w:tbl>
    <w:p>
      <w:pPr>
        <w:spacing w:line="560" w:lineRule="exact"/>
        <w:rPr>
          <w:rFonts w:hint="default" w:ascii="宋体" w:hAnsi="宋体" w:cs="宋体" w:eastAsiaTheme="minorEastAsia"/>
          <w:color w:val="000000"/>
          <w:kern w:val="0"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年至2024年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南江金悦府物业管理服务有限</w:t>
      </w:r>
      <w:r>
        <w:rPr>
          <w:rFonts w:hint="eastAsia" w:ascii="仿宋_GB2312" w:eastAsia="仿宋_GB2312"/>
          <w:sz w:val="32"/>
          <w:szCs w:val="32"/>
        </w:rPr>
        <w:t>公司经营成果情况见下表，单位：万元。</w:t>
      </w:r>
    </w:p>
    <w:tbl>
      <w:tblPr>
        <w:tblStyle w:val="4"/>
        <w:tblW w:w="77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503"/>
        <w:gridCol w:w="1568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93.74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139.48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116.61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68.74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80.84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74.79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其他业务收入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25.00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58.63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0.28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0.29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17.15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39.33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28.24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71.90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67.99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69.945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2.45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3.91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31.62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17.765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五、公示期间如有异议，可通过如下方式联系咨询：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南江金悦府物业管理服务</w:t>
      </w:r>
      <w:r>
        <w:rPr>
          <w:rFonts w:hint="eastAsia" w:ascii="仿宋_GB2312" w:eastAsia="仿宋_GB2312"/>
          <w:sz w:val="32"/>
          <w:szCs w:val="32"/>
        </w:rPr>
        <w:t>公司，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陈建设</w:t>
      </w:r>
      <w:r>
        <w:rPr>
          <w:rFonts w:hint="eastAsia" w:ascii="仿宋_GB2312" w:eastAsia="仿宋_GB2312"/>
          <w:sz w:val="32"/>
          <w:szCs w:val="32"/>
        </w:rPr>
        <w:t>，联系电话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0827-8681118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758187354</w:t>
      </w:r>
      <w:r>
        <w:rPr>
          <w:rFonts w:hint="eastAsia" w:ascii="仿宋_GB2312" w:eastAsia="仿宋_GB2312"/>
          <w:sz w:val="32"/>
          <w:szCs w:val="32"/>
        </w:rPr>
        <w:t>.com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3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南江金悦府物业管理服务有限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4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2025年3月5日</w:t>
      </w:r>
    </w:p>
    <w:sectPr>
      <w:foot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MDUyNjY1NGI3MTdkZjBmNjlmZWVkMTM1NzNhZmM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0BF03F05"/>
    <w:rsid w:val="253B0B3B"/>
    <w:rsid w:val="29224256"/>
    <w:rsid w:val="2BE60B1A"/>
    <w:rsid w:val="31B10040"/>
    <w:rsid w:val="39991390"/>
    <w:rsid w:val="3B5E3DFD"/>
    <w:rsid w:val="3C345DB1"/>
    <w:rsid w:val="410F0A26"/>
    <w:rsid w:val="4337184F"/>
    <w:rsid w:val="4D8E0F60"/>
    <w:rsid w:val="5D5C07F7"/>
    <w:rsid w:val="66882A66"/>
    <w:rsid w:val="6F465392"/>
    <w:rsid w:val="7BB77417"/>
    <w:rsid w:val="7BC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1021</Words>
  <Characters>1337</Characters>
  <Lines>12</Lines>
  <Paragraphs>3</Paragraphs>
  <TotalTime>1</TotalTime>
  <ScaleCrop>false</ScaleCrop>
  <LinksUpToDate>false</LinksUpToDate>
  <CharactersWithSpaces>1425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cp:lastPrinted>2025-03-07T06:59:29Z</cp:lastPrinted>
  <dcterms:modified xsi:type="dcterms:W3CDTF">2025-03-07T07:01:51Z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1733DB49A85C4F1595F01BFE07539748_13</vt:lpwstr>
  </property>
  <property fmtid="{D5CDD505-2E9C-101B-9397-08002B2CF9AE}" pid="4" name="KSOTemplateDocerSaveRecord">
    <vt:lpwstr>eyJoZGlkIjoiNTcyNTgyM2RmZGVlMDJmNDdmMzExOTFkZjU1NDlmMDgiLCJ1c2VySWQiOiIxMTU4NzgyMTY2In0=</vt:lpwstr>
  </property>
</Properties>
</file>