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成都居安物业服务有限责任公司南江分公司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成都居安物业服务有限责任公司南江分公司</w:t>
      </w:r>
      <w:r>
        <w:rPr>
          <w:rFonts w:hint="eastAsia" w:ascii="仿宋_GB2312" w:eastAsia="仿宋_GB2312"/>
          <w:sz w:val="32"/>
          <w:szCs w:val="32"/>
        </w:rPr>
        <w:t>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：南江县</w:t>
      </w:r>
      <w:r>
        <w:rPr>
          <w:rFonts w:hint="eastAsia" w:ascii="仿宋_GB2312" w:eastAsia="仿宋_GB2312"/>
          <w:sz w:val="32"/>
          <w:szCs w:val="32"/>
          <w:lang w:eastAsia="zh-CN"/>
        </w:rPr>
        <w:t>发展和改革</w:t>
      </w:r>
      <w:r>
        <w:rPr>
          <w:rFonts w:hint="eastAsia" w:ascii="仿宋_GB2312" w:eastAsia="仿宋_GB2312"/>
          <w:sz w:val="32"/>
          <w:szCs w:val="32"/>
        </w:rPr>
        <w:t>局网址公示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成都居安物业服务有限责任公司南江分公司</w:t>
      </w:r>
      <w:r>
        <w:rPr>
          <w:rFonts w:hint="eastAsia" w:ascii="仿宋_GB2312" w:eastAsia="仿宋_GB2312"/>
          <w:sz w:val="32"/>
          <w:szCs w:val="32"/>
        </w:rPr>
        <w:t>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</w:t>
      </w:r>
      <w:r>
        <w:rPr>
          <w:rFonts w:hint="eastAsia" w:ascii="仿宋_GB2312" w:eastAsia="仿宋_GB2312"/>
          <w:sz w:val="32"/>
          <w:szCs w:val="32"/>
        </w:rPr>
        <w:t xml:space="preserve">公司成立于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日，法定代表人：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杨黛熙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公司类型：有限责任公司（自然人投资或控股）；统一社会信用代码为：91511922MA66M58325 ；经营场所：四川省巴中市南江县南江镇红塔新区红塔大道45号；经营范围：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物业管理、</w:t>
      </w:r>
      <w:r>
        <w:rPr>
          <w:rFonts w:hint="eastAsia" w:ascii="仿宋_GB2312" w:eastAsia="仿宋_GB2312"/>
          <w:sz w:val="32"/>
          <w:szCs w:val="32"/>
        </w:rPr>
        <w:t>经营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及小区配套工程（不含建筑工程）、小区配套经营服务及社区综合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清洁服务、家政服务；</w:t>
      </w:r>
      <w:r>
        <w:rPr>
          <w:rFonts w:hint="eastAsia" w:ascii="仿宋_GB2312" w:eastAsia="仿宋_GB2312"/>
          <w:sz w:val="32"/>
          <w:szCs w:val="32"/>
        </w:rPr>
        <w:t>园林绿化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维护；停车服务；销售：五金交电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日用百货；酒店管理服务；餐饮服务；园林绿化工程设计及施工；病人陪护服务；房地产中介服务；（依法须经批准的项目，经相关部门批准后方可开展经营活动）。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香醍别苑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</w:t>
      </w:r>
      <w:r>
        <w:rPr>
          <w:rFonts w:hint="eastAsia" w:ascii="仿宋_GB2312" w:eastAsia="仿宋_GB2312"/>
          <w:sz w:val="32"/>
          <w:szCs w:val="32"/>
        </w:rPr>
        <w:t>公司2022年至2024年资产、负债、经营成果及主要经营项目的经营成本。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公司</w:t>
      </w:r>
      <w:r>
        <w:rPr>
          <w:rFonts w:hint="eastAsia" w:ascii="仿宋_GB2312" w:eastAsia="仿宋_GB2312"/>
          <w:sz w:val="32"/>
          <w:szCs w:val="32"/>
        </w:rPr>
        <w:t>资产、负债情况见下表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成都居安物业服务有限责任公司南江分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48.02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76.69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54.61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59.77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其他资产合计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38.80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36.37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32.42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9.22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40.32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22.19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23.91</w:t>
            </w: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公司</w:t>
      </w:r>
      <w:r>
        <w:rPr>
          <w:rFonts w:hint="eastAsia" w:ascii="仿宋_GB2312" w:eastAsia="仿宋_GB2312"/>
          <w:sz w:val="32"/>
          <w:szCs w:val="32"/>
        </w:rPr>
        <w:t>经营成果情况见下表，单位：万元。</w:t>
      </w: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成都居安物业服务有限责任公司南江分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经营成果表</w:t>
            </w:r>
          </w:p>
        </w:tc>
      </w:tr>
      <w:tr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294.75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303.12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308.62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294.75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303.12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308.62</w:t>
            </w:r>
          </w:p>
        </w:tc>
      </w:tr>
      <w:tr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0.17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286.33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272.78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346.13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301.75</w:t>
            </w:r>
          </w:p>
        </w:tc>
      </w:tr>
      <w:tr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0.41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-0.16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1.21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9.22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31.1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-18.14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7.39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四、公示期间如有异议，可通过如下方式联系咨询：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联系人：成都居安物业服务有限责任公司南江分公司公司，李晓燕，联系电话18398233855，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成都居安物业服务有限责任公司南江分</w:t>
      </w:r>
      <w:r>
        <w:rPr>
          <w:rFonts w:hint="eastAsia" w:ascii="仿宋_GB2312" w:eastAsia="仿宋_GB2312"/>
          <w:sz w:val="32"/>
          <w:szCs w:val="32"/>
        </w:rPr>
        <w:t>公司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B2D3A08"/>
    <w:rsid w:val="0B4A6210"/>
    <w:rsid w:val="253B0B3B"/>
    <w:rsid w:val="26542BEF"/>
    <w:rsid w:val="28853CCC"/>
    <w:rsid w:val="291F6339"/>
    <w:rsid w:val="357D1550"/>
    <w:rsid w:val="38CE7474"/>
    <w:rsid w:val="399459E9"/>
    <w:rsid w:val="39991390"/>
    <w:rsid w:val="3C345DB1"/>
    <w:rsid w:val="3CD347C5"/>
    <w:rsid w:val="3CFE3C20"/>
    <w:rsid w:val="43813731"/>
    <w:rsid w:val="438F5E4E"/>
    <w:rsid w:val="54E81DD3"/>
    <w:rsid w:val="5C8947D7"/>
    <w:rsid w:val="6BB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1360</Words>
  <Characters>1700</Characters>
  <Lines>12</Lines>
  <Paragraphs>3</Paragraphs>
  <TotalTime>8</TotalTime>
  <ScaleCrop>false</ScaleCrop>
  <LinksUpToDate>false</LinksUpToDate>
  <CharactersWithSpaces>1785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dcterms:modified xsi:type="dcterms:W3CDTF">2025-03-07T07:10:36Z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4221E7F6A70A4EACAA7E00B820B65664_13</vt:lpwstr>
  </property>
  <property fmtid="{D5CDD505-2E9C-101B-9397-08002B2CF9AE}" pid="4" name="KSOTemplateDocerSaveRecord">
    <vt:lpwstr>eyJoZGlkIjoiM2UwYWYxZjU3YmQyYzJiMGM5ZGU3OTJiZTIxN2NlMWIiLCJ1c2VySWQiOiIzMDc0MjkwMjEifQ==</vt:lpwstr>
  </property>
</Properties>
</file>