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南江县养生物业管理有限公司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0"/>
          <w:szCs w:val="40"/>
        </w:rPr>
        <w:t>2022年至2024年企业经营及财务情况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spacing w:line="560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障性住房物业服务和住房前期物业服务收费标准属政府定价，现执行标准与新的物业管理方式不相适应，需调整。县住建局已向县人民政府提出调整物业收费请示，县人民政府已同意并批转县发展和改革局办理，正按程序推进。根据《政府制定价格成本监审办法》（发改委令第8号）《四川省发展改革委关于印发〈四川省政府制定价格成本信息公开办法〉的通知》（川发改价格〔2017〕658号）的相关规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南江县养生物业管理有限公司</w:t>
      </w:r>
      <w:r>
        <w:rPr>
          <w:rFonts w:hint="eastAsia" w:ascii="仿宋_GB2312" w:eastAsia="仿宋_GB2312"/>
          <w:sz w:val="32"/>
          <w:szCs w:val="32"/>
        </w:rPr>
        <w:t>2022年至2024年企业经营、财务等情况向社会予以公示，敬请社会各界监督。</w:t>
      </w:r>
    </w:p>
    <w:p>
      <w:pPr>
        <w:topLinePunct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一、公示方式</w:t>
      </w:r>
      <w:r>
        <w:rPr>
          <w:rFonts w:hint="eastAsia" w:ascii="仿宋_GB2312" w:eastAsia="仿宋_GB2312"/>
          <w:sz w:val="32"/>
          <w:szCs w:val="32"/>
        </w:rPr>
        <w:t>：南江县</w:t>
      </w:r>
      <w:r>
        <w:rPr>
          <w:rFonts w:hint="eastAsia" w:ascii="仿宋_GB2312" w:eastAsia="仿宋_GB2312"/>
          <w:sz w:val="32"/>
          <w:szCs w:val="32"/>
          <w:lang w:eastAsia="zh-CN"/>
        </w:rPr>
        <w:t>发展和改革</w:t>
      </w:r>
      <w:r>
        <w:rPr>
          <w:rFonts w:hint="eastAsia" w:ascii="仿宋_GB2312" w:eastAsia="仿宋_GB2312"/>
          <w:sz w:val="32"/>
          <w:szCs w:val="32"/>
        </w:rPr>
        <w:t>局网址公示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二、公示时间：一个月，</w:t>
      </w:r>
      <w:r>
        <w:rPr>
          <w:rFonts w:hint="eastAsia" w:ascii="仿宋_GB2312" w:eastAsia="仿宋_GB2312"/>
          <w:sz w:val="32"/>
          <w:szCs w:val="32"/>
        </w:rPr>
        <w:t>2025年3月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日—2025年4月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三、公示内容：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南江县养生物业管理有限公司</w:t>
      </w:r>
      <w:r>
        <w:rPr>
          <w:rFonts w:hint="eastAsia" w:ascii="仿宋_GB2312" w:eastAsia="仿宋_GB2312"/>
          <w:sz w:val="32"/>
          <w:szCs w:val="32"/>
        </w:rPr>
        <w:t>2022年至2024年企业经营状况以及财务报告情况。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（一）企业基本情况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南江县养生物业管理有限公司</w:t>
      </w:r>
      <w:r>
        <w:rPr>
          <w:rFonts w:hint="eastAsia" w:ascii="仿宋_GB2312" w:eastAsia="仿宋_GB2312"/>
          <w:sz w:val="32"/>
          <w:szCs w:val="32"/>
        </w:rPr>
        <w:t xml:space="preserve">成立于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日，法定代表人：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胡力文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公司类型：有限责任公司（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非</w:t>
      </w:r>
      <w:r>
        <w:rPr>
          <w:rFonts w:hint="eastAsia" w:ascii="仿宋_GB2312" w:eastAsia="仿宋_GB2312"/>
          <w:sz w:val="32"/>
          <w:szCs w:val="32"/>
        </w:rPr>
        <w:t>自然人投资或控股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的法人独资</w:t>
      </w:r>
      <w:r>
        <w:rPr>
          <w:rFonts w:hint="eastAsia" w:ascii="仿宋_GB2312" w:eastAsia="仿宋_GB2312"/>
          <w:sz w:val="32"/>
          <w:szCs w:val="32"/>
        </w:rPr>
        <w:t>）；统一社会信用代码为：915119220858252897；经营场所：四川省巴中市南江县长赤镇朱陵宫街301号；经营范围：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物业管理。（以上经营范围中依法需经相关部门批准的，凭其批准文件经营）。（依法须经批准的项目，经相关部门批准后方可开展经营活动）。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当前公司会计核算的全部内容为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南江县养生物业管理有限公司</w:t>
      </w:r>
      <w:r>
        <w:rPr>
          <w:rFonts w:hint="eastAsia" w:ascii="仿宋_GB2312" w:eastAsia="仿宋_GB2312"/>
          <w:sz w:val="32"/>
          <w:szCs w:val="32"/>
        </w:rPr>
        <w:t>的资产、负债、收入、成本、费用和所有者权益情况；本次公示内容亦为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养生华庭，禹王云锦苑</w:t>
      </w:r>
      <w:r>
        <w:rPr>
          <w:rFonts w:hint="eastAsia" w:ascii="仿宋_GB2312" w:eastAsia="仿宋_GB2312"/>
          <w:sz w:val="32"/>
          <w:szCs w:val="32"/>
        </w:rPr>
        <w:t>的相关财务、成本数据。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（二）公示内容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南江县养生物业管理有限公司</w:t>
      </w:r>
      <w:r>
        <w:rPr>
          <w:rFonts w:hint="eastAsia" w:ascii="仿宋_GB2312" w:eastAsia="仿宋_GB2312"/>
          <w:sz w:val="32"/>
          <w:szCs w:val="32"/>
        </w:rPr>
        <w:t>2022年至2024年资产、负债、经营成果及主要经营项目的经营成本。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1、资产、负债情况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2022年至2024年度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南江县养生物业管理有限公司</w:t>
      </w:r>
      <w:r>
        <w:rPr>
          <w:rFonts w:hint="eastAsia" w:ascii="仿宋_GB2312" w:eastAsia="仿宋_GB2312"/>
          <w:sz w:val="32"/>
          <w:szCs w:val="32"/>
        </w:rPr>
        <w:t>资产、负债情况见下表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tbl>
      <w:tblPr>
        <w:tblStyle w:val="4"/>
        <w:tblpPr w:leftFromText="180" w:rightFromText="180" w:vertAnchor="text" w:horzAnchor="page" w:tblpX="1951" w:tblpY="134"/>
        <w:tblOverlap w:val="never"/>
        <w:tblW w:w="83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045"/>
        <w:gridCol w:w="1346"/>
        <w:gridCol w:w="1345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南江县养生物业管理有限公司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资产负债情况表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ind w:firstLine="1800" w:firstLineChars="75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年度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2023年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2024年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资产总额（万元）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203.8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192.6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187.75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194.72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其他资产合计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负债总额(万元）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164.5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155.6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156.88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所有者权益（万元）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39.3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30.87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107.17</w:t>
            </w:r>
          </w:p>
        </w:tc>
      </w:tr>
    </w:tbl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2、</w:t>
      </w:r>
      <w:r>
        <w:rPr>
          <w:rFonts w:hint="eastAsia" w:ascii="仿宋_GB2312" w:eastAsia="仿宋_GB2312"/>
          <w:sz w:val="32"/>
          <w:szCs w:val="32"/>
        </w:rPr>
        <w:t>2022年至2024年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南江县养生物业管理有限公司</w:t>
      </w:r>
      <w:r>
        <w:rPr>
          <w:rFonts w:hint="eastAsia" w:ascii="仿宋_GB2312" w:eastAsia="仿宋_GB2312"/>
          <w:sz w:val="32"/>
          <w:szCs w:val="32"/>
        </w:rPr>
        <w:t>经营成果情况见下表，单位：万元。</w:t>
      </w:r>
    </w:p>
    <w:tbl>
      <w:tblPr>
        <w:tblStyle w:val="4"/>
        <w:tblW w:w="866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1154"/>
        <w:gridCol w:w="1282"/>
        <w:gridCol w:w="1506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6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南江县养生物业管理有限公司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经营成果表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           年度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其中：主营业务收入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159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159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其他业务收入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税金及附加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营业成本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35.55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46.5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销售费用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99.18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137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-0.13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-0.5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-0.03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营业外收入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净利润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-8.6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-24.97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-16.86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四、公示期间如有异议，可通过如下方式联系咨询：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联系人：南江县养生物业管理有限公司，吴林，联系电话18382732855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3" name="图片 4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南江县养生物业管理有限公司</w:t>
      </w:r>
      <w:r>
        <w:rPr>
          <w:rFonts w:hint="eastAsia" w:ascii="仿宋_GB2312" w:eastAsia="仿宋_GB2312"/>
          <w:sz w:val="32"/>
          <w:szCs w:val="32"/>
        </w:rPr>
        <w:t xml:space="preserve">                       2025年3月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134" w:right="1474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07159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right"/>
        </w:pPr>
        <w:r>
          <w:rPr>
            <w:rFonts w:hint="eastAsia"/>
            <w:sz w:val="24"/>
          </w:rPr>
          <w:t>—</w:t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  <w:r>
          <w:rPr>
            <w:rFonts w:hint="eastAsia"/>
            <w:sz w:val="24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DUyNjY1NGI3MTdkZjBmNjlmZWVkMTM1NzNhZmMifQ=="/>
  </w:docVars>
  <w:rsids>
    <w:rsidRoot w:val="00272713"/>
    <w:rsid w:val="0009327F"/>
    <w:rsid w:val="0013498B"/>
    <w:rsid w:val="001659F0"/>
    <w:rsid w:val="001C4CEC"/>
    <w:rsid w:val="002161E1"/>
    <w:rsid w:val="00232834"/>
    <w:rsid w:val="002474CC"/>
    <w:rsid w:val="00272713"/>
    <w:rsid w:val="002B4834"/>
    <w:rsid w:val="002B4BF4"/>
    <w:rsid w:val="0031112D"/>
    <w:rsid w:val="00360ED4"/>
    <w:rsid w:val="00392BF2"/>
    <w:rsid w:val="00395E6C"/>
    <w:rsid w:val="003C2E7A"/>
    <w:rsid w:val="0051255B"/>
    <w:rsid w:val="005B3845"/>
    <w:rsid w:val="005F5DFF"/>
    <w:rsid w:val="006128FF"/>
    <w:rsid w:val="00620BB7"/>
    <w:rsid w:val="00675B81"/>
    <w:rsid w:val="0068045F"/>
    <w:rsid w:val="006B2E84"/>
    <w:rsid w:val="006C4288"/>
    <w:rsid w:val="006D0DDA"/>
    <w:rsid w:val="00712BB5"/>
    <w:rsid w:val="007178F9"/>
    <w:rsid w:val="00772CD0"/>
    <w:rsid w:val="007F2659"/>
    <w:rsid w:val="007F3642"/>
    <w:rsid w:val="008B6B94"/>
    <w:rsid w:val="008C0FC9"/>
    <w:rsid w:val="00970423"/>
    <w:rsid w:val="00972641"/>
    <w:rsid w:val="00977369"/>
    <w:rsid w:val="009B3681"/>
    <w:rsid w:val="009F3413"/>
    <w:rsid w:val="00A665AB"/>
    <w:rsid w:val="00AB0893"/>
    <w:rsid w:val="00AB7435"/>
    <w:rsid w:val="00BA7F84"/>
    <w:rsid w:val="00C871AB"/>
    <w:rsid w:val="00C950FD"/>
    <w:rsid w:val="00CE4D99"/>
    <w:rsid w:val="00D0458E"/>
    <w:rsid w:val="00D42F3C"/>
    <w:rsid w:val="00D843BB"/>
    <w:rsid w:val="00DC4368"/>
    <w:rsid w:val="00E365B6"/>
    <w:rsid w:val="00E4768F"/>
    <w:rsid w:val="00E6171E"/>
    <w:rsid w:val="00EB02F5"/>
    <w:rsid w:val="00EB3993"/>
    <w:rsid w:val="00EB5913"/>
    <w:rsid w:val="00EF3E45"/>
    <w:rsid w:val="00F34FED"/>
    <w:rsid w:val="0B2D3A08"/>
    <w:rsid w:val="0B4A6210"/>
    <w:rsid w:val="13A30927"/>
    <w:rsid w:val="253B0B3B"/>
    <w:rsid w:val="26542BEF"/>
    <w:rsid w:val="28853CCC"/>
    <w:rsid w:val="291F6339"/>
    <w:rsid w:val="2AA16CEF"/>
    <w:rsid w:val="357D1550"/>
    <w:rsid w:val="376341B5"/>
    <w:rsid w:val="38CE7474"/>
    <w:rsid w:val="39991390"/>
    <w:rsid w:val="3C345DB1"/>
    <w:rsid w:val="3CD347C5"/>
    <w:rsid w:val="3CFE3C20"/>
    <w:rsid w:val="43813731"/>
    <w:rsid w:val="438F5E4E"/>
    <w:rsid w:val="54E81DD3"/>
    <w:rsid w:val="5C8947D7"/>
    <w:rsid w:val="6BB5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972</Words>
  <Characters>1191</Characters>
  <Lines>12</Lines>
  <Paragraphs>3</Paragraphs>
  <TotalTime>47</TotalTime>
  <ScaleCrop>false</ScaleCrop>
  <LinksUpToDate>false</LinksUpToDate>
  <CharactersWithSpaces>1266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2024-04-26T03:21:00Z</dcterms:created>
  <dc:creator>广元任科科技</dc:creator>
  <cp:lastModifiedBy>Administrator</cp:lastModifiedBy>
  <dcterms:modified xsi:type="dcterms:W3CDTF">2025-03-07T07:18:17Z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F9706D6452A643FFB2DA78569539B3A6_13</vt:lpwstr>
  </property>
  <property fmtid="{D5CDD505-2E9C-101B-9397-08002B2CF9AE}" pid="4" name="KSOTemplateDocerSaveRecord">
    <vt:lpwstr>eyJoZGlkIjoiMmM2ZWE1ZTI5NGI5ZDMyNThmMzY3MjU4M2Y1MGVlNGEiLCJ1c2VySWQiOiI3MTE2NDY0NzgifQ==</vt:lpwstr>
  </property>
</Properties>
</file>