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 w:cs="Times New Roman"/>
          <w:color w:val="auto"/>
          <w:sz w:val="36"/>
          <w:szCs w:val="36"/>
          <w:lang w:eastAsia="zh-CN"/>
        </w:rPr>
      </w:pPr>
      <w:bookmarkStart w:id="0" w:name="_Hlk57883707"/>
    </w:p>
    <w:p>
      <w:pPr>
        <w:rPr>
          <w:rFonts w:hint="default" w:ascii="Times New Roman" w:hAnsi="Times New Roman" w:eastAsia="仿宋" w:cs="Times New Roman"/>
          <w:color w:val="auto"/>
          <w:sz w:val="36"/>
          <w:szCs w:val="36"/>
        </w:rPr>
      </w:pPr>
    </w:p>
    <w:bookmarkEnd w:id="0"/>
    <w:p>
      <w:pPr>
        <w:adjustRightInd w:val="0"/>
        <w:snapToGrid w:val="0"/>
        <w:jc w:val="center"/>
        <w:outlineLvl w:val="0"/>
        <w:rPr>
          <w:rFonts w:hint="default" w:ascii="Times New Roman" w:hAnsi="Times New Roman" w:eastAsia="仿宋" w:cs="Times New Roman"/>
          <w:bCs/>
          <w:color w:val="auto"/>
          <w:sz w:val="72"/>
          <w:szCs w:val="72"/>
        </w:rPr>
      </w:pPr>
      <w:bookmarkStart w:id="1" w:name="_Toc66980723"/>
    </w:p>
    <w:bookmarkEnd w:id="1"/>
    <w:p>
      <w:pPr>
        <w:adjustRightInd w:val="0"/>
        <w:snapToGrid w:val="0"/>
        <w:jc w:val="center"/>
        <w:outlineLvl w:val="0"/>
        <w:rPr>
          <w:rFonts w:hint="eastAsia" w:ascii="Times New Roman" w:hAnsi="Times New Roman" w:eastAsia="方正小标宋_GBK"/>
          <w:bCs/>
          <w:color w:val="auto"/>
          <w:sz w:val="72"/>
          <w:szCs w:val="72"/>
        </w:rPr>
      </w:pPr>
      <w:bookmarkStart w:id="2" w:name="_Toc3493"/>
      <w:bookmarkStart w:id="3" w:name="_Hlk57883728"/>
      <w:r>
        <w:rPr>
          <w:rFonts w:hint="eastAsia" w:ascii="Times New Roman" w:hAnsi="Times New Roman" w:eastAsia="方正小标宋_GBK"/>
          <w:bCs/>
          <w:color w:val="auto"/>
          <w:sz w:val="72"/>
          <w:szCs w:val="72"/>
        </w:rPr>
        <w:t>建设项目环境影响报告表</w:t>
      </w:r>
      <w:bookmarkEnd w:id="2"/>
    </w:p>
    <w:p>
      <w:pPr>
        <w:pStyle w:val="29"/>
        <w:jc w:val="center"/>
        <w:rPr>
          <w:rFonts w:hint="default" w:ascii="Times New Roman" w:hAnsi="Times New Roman" w:eastAsia="仿宋" w:cs="Times New Roman"/>
          <w:color w:val="auto"/>
        </w:rPr>
      </w:pPr>
      <w:r>
        <w:rPr>
          <w:rFonts w:hint="eastAsia" w:ascii="Times New Roman" w:hAnsi="Times New Roman" w:eastAsia="楷体_GB2312"/>
          <w:bCs/>
          <w:color w:val="auto"/>
          <w:sz w:val="48"/>
          <w:szCs w:val="48"/>
        </w:rPr>
        <w:t>（生态影响类）</w:t>
      </w:r>
    </w:p>
    <w:p>
      <w:pPr>
        <w:pStyle w:val="29"/>
        <w:rPr>
          <w:rFonts w:hint="default" w:ascii="Times New Roman" w:hAnsi="Times New Roman" w:eastAsia="仿宋" w:cs="Times New Roman"/>
          <w:color w:val="auto"/>
        </w:rPr>
      </w:pPr>
    </w:p>
    <w:p>
      <w:pPr>
        <w:pStyle w:val="29"/>
        <w:rPr>
          <w:rFonts w:hint="default" w:ascii="Times New Roman" w:hAnsi="Times New Roman" w:eastAsia="仿宋" w:cs="Times New Roman"/>
          <w:color w:val="auto"/>
        </w:rPr>
      </w:pPr>
    </w:p>
    <w:p>
      <w:pPr>
        <w:pStyle w:val="29"/>
        <w:rPr>
          <w:rFonts w:hint="default" w:ascii="Times New Roman" w:hAnsi="Times New Roman" w:eastAsia="仿宋" w:cs="Times New Roman"/>
          <w:color w:val="auto"/>
        </w:rPr>
      </w:pPr>
    </w:p>
    <w:p>
      <w:pPr>
        <w:pStyle w:val="29"/>
        <w:rPr>
          <w:rFonts w:hint="default" w:ascii="Times New Roman" w:hAnsi="Times New Roman" w:eastAsia="仿宋" w:cs="Times New Roman"/>
          <w:color w:val="auto"/>
        </w:rPr>
      </w:pPr>
    </w:p>
    <w:p>
      <w:pPr>
        <w:pStyle w:val="29"/>
        <w:rPr>
          <w:rFonts w:hint="default" w:ascii="Times New Roman" w:hAnsi="Times New Roman" w:eastAsia="仿宋" w:cs="Times New Roman"/>
          <w:color w:val="auto"/>
        </w:rPr>
      </w:pPr>
    </w:p>
    <w:p>
      <w:pPr>
        <w:pStyle w:val="29"/>
        <w:rPr>
          <w:rFonts w:hint="default" w:ascii="Times New Roman" w:hAnsi="Times New Roman" w:eastAsia="仿宋" w:cs="Times New Roman"/>
          <w:color w:val="auto"/>
        </w:rPr>
      </w:pPr>
    </w:p>
    <w:p>
      <w:pPr>
        <w:pStyle w:val="29"/>
        <w:rPr>
          <w:rFonts w:hint="default" w:ascii="Times New Roman" w:hAnsi="Times New Roman" w:eastAsia="仿宋" w:cs="Times New Roman"/>
          <w:color w:val="auto"/>
        </w:rPr>
      </w:pPr>
    </w:p>
    <w:p>
      <w:pPr>
        <w:pStyle w:val="29"/>
        <w:rPr>
          <w:rFonts w:hint="default" w:ascii="Times New Roman" w:hAnsi="Times New Roman" w:eastAsia="仿宋" w:cs="Times New Roman"/>
          <w:color w:val="auto"/>
        </w:rPr>
      </w:pPr>
    </w:p>
    <w:p>
      <w:pPr>
        <w:ind w:firstLine="1040"/>
        <w:rPr>
          <w:rFonts w:hint="default" w:ascii="Times New Roman" w:hAnsi="Times New Roman" w:eastAsia="仿宋" w:cs="Times New Roman"/>
          <w:color w:val="auto"/>
          <w:sz w:val="44"/>
          <w:szCs w:val="44"/>
        </w:rPr>
      </w:pPr>
    </w:p>
    <w:p>
      <w:pPr>
        <w:pStyle w:val="29"/>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b w:val="0"/>
          <w:bCs w:val="0"/>
          <w:color w:val="auto"/>
          <w:sz w:val="44"/>
          <w:szCs w:val="44"/>
        </w:rPr>
      </w:pPr>
    </w:p>
    <w:bookmarkEnd w:id="3"/>
    <w:p>
      <w:pPr>
        <w:adjustRightInd w:val="0"/>
        <w:snapToGrid w:val="0"/>
        <w:spacing w:line="288" w:lineRule="auto"/>
        <w:ind w:firstLine="482"/>
        <w:rPr>
          <w:rFonts w:hint="default" w:ascii="Times New Roman" w:hAnsi="Times New Roman" w:eastAsia="仿宋" w:cs="Times New Roman"/>
          <w:b w:val="0"/>
          <w:bCs w:val="0"/>
          <w:color w:val="auto"/>
          <w:sz w:val="36"/>
          <w:szCs w:val="36"/>
          <w:u w:val="single"/>
          <w:lang w:val="en-US" w:eastAsia="zh-CN"/>
        </w:rPr>
      </w:pPr>
      <w:r>
        <w:rPr>
          <w:rFonts w:hint="default" w:ascii="Times New Roman" w:hAnsi="Times New Roman" w:eastAsia="仿宋" w:cs="Times New Roman"/>
          <w:b w:val="0"/>
          <w:bCs w:val="0"/>
          <w:color w:val="auto"/>
          <w:sz w:val="36"/>
          <w:szCs w:val="36"/>
        </w:rPr>
        <w:t>项目名称：</w:t>
      </w:r>
      <w:r>
        <w:rPr>
          <w:rFonts w:hint="eastAsia" w:eastAsia="仿宋" w:cs="Times New Roman"/>
          <w:b w:val="0"/>
          <w:bCs w:val="0"/>
          <w:color w:val="auto"/>
          <w:sz w:val="36"/>
          <w:szCs w:val="36"/>
          <w:u w:val="single"/>
          <w:lang w:val="en-US" w:eastAsia="zh-CN"/>
        </w:rPr>
        <w:t xml:space="preserve">        </w:t>
      </w:r>
      <w:r>
        <w:rPr>
          <w:rFonts w:hint="eastAsia" w:eastAsia="仿宋" w:cs="Times New Roman"/>
          <w:b w:val="0"/>
          <w:bCs w:val="0"/>
          <w:color w:val="auto"/>
          <w:kern w:val="0"/>
          <w:sz w:val="36"/>
          <w:szCs w:val="36"/>
          <w:u w:val="single"/>
          <w:lang w:eastAsia="zh-CN"/>
        </w:rPr>
        <w:t>巴中南江大河风电项目</w:t>
      </w:r>
      <w:r>
        <w:rPr>
          <w:rFonts w:hint="default" w:ascii="Times New Roman" w:hAnsi="Times New Roman" w:eastAsia="仿宋" w:cs="Times New Roman"/>
          <w:b w:val="0"/>
          <w:bCs w:val="0"/>
          <w:color w:val="auto"/>
          <w:sz w:val="36"/>
          <w:szCs w:val="36"/>
          <w:u w:val="single"/>
        </w:rPr>
        <w:t xml:space="preserve"> </w:t>
      </w:r>
      <w:r>
        <w:rPr>
          <w:rFonts w:hint="eastAsia" w:eastAsia="仿宋" w:cs="Times New Roman"/>
          <w:b w:val="0"/>
          <w:bCs w:val="0"/>
          <w:color w:val="auto"/>
          <w:sz w:val="36"/>
          <w:szCs w:val="36"/>
          <w:u w:val="single"/>
          <w:lang w:val="en-US" w:eastAsia="zh-CN"/>
        </w:rPr>
        <w:t xml:space="preserve">     </w:t>
      </w:r>
    </w:p>
    <w:p>
      <w:pPr>
        <w:adjustRightInd w:val="0"/>
        <w:snapToGrid w:val="0"/>
        <w:spacing w:line="288" w:lineRule="auto"/>
        <w:ind w:firstLine="482"/>
        <w:rPr>
          <w:rFonts w:hint="default" w:ascii="Times New Roman" w:hAnsi="Times New Roman" w:eastAsia="仿宋" w:cs="Times New Roman"/>
          <w:b w:val="0"/>
          <w:bCs w:val="0"/>
          <w:color w:val="auto"/>
          <w:sz w:val="36"/>
          <w:szCs w:val="36"/>
          <w:u w:val="single"/>
        </w:rPr>
      </w:pPr>
      <w:r>
        <w:rPr>
          <w:rFonts w:hint="default" w:ascii="Times New Roman" w:hAnsi="Times New Roman" w:eastAsia="仿宋" w:cs="Times New Roman"/>
          <w:b w:val="0"/>
          <w:bCs w:val="0"/>
          <w:color w:val="auto"/>
          <w:sz w:val="36"/>
          <w:szCs w:val="36"/>
        </w:rPr>
        <w:t>建设单位（盖章）：</w:t>
      </w:r>
      <w:r>
        <w:rPr>
          <w:rFonts w:hint="default" w:ascii="Times New Roman" w:hAnsi="Times New Roman" w:eastAsia="仿宋" w:cs="Times New Roman"/>
          <w:b w:val="0"/>
          <w:bCs w:val="0"/>
          <w:color w:val="auto"/>
          <w:sz w:val="36"/>
          <w:szCs w:val="36"/>
          <w:u w:val="single"/>
        </w:rPr>
        <w:t xml:space="preserve"> </w:t>
      </w:r>
      <w:r>
        <w:rPr>
          <w:rFonts w:hint="eastAsia" w:eastAsia="仿宋" w:cs="Times New Roman"/>
          <w:b w:val="0"/>
          <w:bCs w:val="0"/>
          <w:color w:val="auto"/>
          <w:w w:val="100"/>
          <w:kern w:val="0"/>
          <w:sz w:val="36"/>
          <w:szCs w:val="36"/>
          <w:u w:val="single"/>
          <w:lang w:eastAsia="zh-CN"/>
        </w:rPr>
        <w:t>华润风电（巴中）有限公司</w:t>
      </w:r>
      <w:r>
        <w:rPr>
          <w:rFonts w:hint="default" w:ascii="Times New Roman" w:hAnsi="Times New Roman" w:eastAsia="仿宋" w:cs="Times New Roman"/>
          <w:b w:val="0"/>
          <w:bCs w:val="0"/>
          <w:color w:val="auto"/>
          <w:w w:val="100"/>
          <w:sz w:val="36"/>
          <w:szCs w:val="36"/>
          <w:u w:val="single"/>
        </w:rPr>
        <w:t xml:space="preserve"> </w:t>
      </w:r>
    </w:p>
    <w:p>
      <w:pPr>
        <w:adjustRightInd w:val="0"/>
        <w:snapToGrid w:val="0"/>
        <w:spacing w:line="288" w:lineRule="auto"/>
        <w:ind w:firstLine="482"/>
        <w:rPr>
          <w:rFonts w:hint="default" w:ascii="Times New Roman" w:hAnsi="Times New Roman" w:eastAsia="仿宋" w:cs="Times New Roman"/>
          <w:b w:val="0"/>
          <w:bCs w:val="0"/>
          <w:color w:val="auto"/>
          <w:sz w:val="36"/>
          <w:szCs w:val="36"/>
          <w:u w:val="single"/>
        </w:rPr>
      </w:pPr>
      <w:r>
        <w:rPr>
          <w:rFonts w:hint="default" w:ascii="Times New Roman" w:hAnsi="Times New Roman" w:eastAsia="仿宋" w:cs="Times New Roman"/>
          <w:b w:val="0"/>
          <w:bCs w:val="0"/>
          <w:color w:val="auto"/>
          <w:sz w:val="36"/>
          <w:szCs w:val="36"/>
        </w:rPr>
        <w:t>编制日期：</w:t>
      </w:r>
      <w:r>
        <w:rPr>
          <w:rFonts w:hint="default" w:ascii="Times New Roman" w:hAnsi="Times New Roman" w:eastAsia="仿宋" w:cs="Times New Roman"/>
          <w:b w:val="0"/>
          <w:bCs w:val="0"/>
          <w:color w:val="auto"/>
          <w:sz w:val="36"/>
          <w:szCs w:val="36"/>
          <w:u w:val="single"/>
        </w:rPr>
        <w:t xml:space="preserve">         </w:t>
      </w:r>
      <w:r>
        <w:rPr>
          <w:rFonts w:hint="eastAsia" w:eastAsia="仿宋" w:cs="Times New Roman"/>
          <w:b w:val="0"/>
          <w:bCs w:val="0"/>
          <w:color w:val="auto"/>
          <w:sz w:val="36"/>
          <w:szCs w:val="36"/>
          <w:u w:val="single"/>
          <w:lang w:val="en-US" w:eastAsia="zh-CN"/>
        </w:rPr>
        <w:t xml:space="preserve"> </w:t>
      </w:r>
      <w:r>
        <w:rPr>
          <w:rFonts w:hint="default" w:ascii="Times New Roman" w:hAnsi="Times New Roman" w:eastAsia="仿宋" w:cs="Times New Roman"/>
          <w:b w:val="0"/>
          <w:bCs w:val="0"/>
          <w:color w:val="auto"/>
          <w:sz w:val="36"/>
          <w:szCs w:val="36"/>
          <w:u w:val="single"/>
        </w:rPr>
        <w:t xml:space="preserve">  202</w:t>
      </w:r>
      <w:r>
        <w:rPr>
          <w:rFonts w:hint="eastAsia" w:eastAsia="仿宋" w:cs="Times New Roman"/>
          <w:b w:val="0"/>
          <w:bCs w:val="0"/>
          <w:color w:val="auto"/>
          <w:sz w:val="36"/>
          <w:szCs w:val="36"/>
          <w:u w:val="single"/>
          <w:lang w:val="en-US" w:eastAsia="zh-CN"/>
        </w:rPr>
        <w:t>5</w:t>
      </w:r>
      <w:r>
        <w:rPr>
          <w:rFonts w:hint="default" w:ascii="Times New Roman" w:hAnsi="Times New Roman" w:eastAsia="仿宋" w:cs="Times New Roman"/>
          <w:b w:val="0"/>
          <w:bCs w:val="0"/>
          <w:color w:val="auto"/>
          <w:sz w:val="36"/>
          <w:szCs w:val="36"/>
          <w:u w:val="single"/>
        </w:rPr>
        <w:t>年</w:t>
      </w:r>
      <w:r>
        <w:rPr>
          <w:rFonts w:hint="eastAsia" w:eastAsia="仿宋" w:cs="Times New Roman"/>
          <w:b w:val="0"/>
          <w:bCs w:val="0"/>
          <w:color w:val="auto"/>
          <w:sz w:val="36"/>
          <w:szCs w:val="36"/>
          <w:u w:val="single"/>
          <w:lang w:val="en-US" w:eastAsia="zh-CN"/>
        </w:rPr>
        <w:t>3</w:t>
      </w:r>
      <w:r>
        <w:rPr>
          <w:rFonts w:hint="default" w:ascii="Times New Roman" w:hAnsi="Times New Roman" w:eastAsia="仿宋" w:cs="Times New Roman"/>
          <w:b w:val="0"/>
          <w:bCs w:val="0"/>
          <w:color w:val="auto"/>
          <w:sz w:val="36"/>
          <w:szCs w:val="36"/>
          <w:u w:val="single"/>
        </w:rPr>
        <w:t xml:space="preserve">月    </w:t>
      </w:r>
      <w:r>
        <w:rPr>
          <w:rFonts w:hint="eastAsia" w:eastAsia="仿宋" w:cs="Times New Roman"/>
          <w:b w:val="0"/>
          <w:bCs w:val="0"/>
          <w:color w:val="auto"/>
          <w:sz w:val="36"/>
          <w:szCs w:val="36"/>
          <w:u w:val="single"/>
          <w:lang w:val="en-US" w:eastAsia="zh-CN"/>
        </w:rPr>
        <w:t xml:space="preserve"> </w:t>
      </w:r>
      <w:r>
        <w:rPr>
          <w:rFonts w:hint="default" w:ascii="Times New Roman" w:hAnsi="Times New Roman" w:eastAsia="仿宋" w:cs="Times New Roman"/>
          <w:b w:val="0"/>
          <w:bCs w:val="0"/>
          <w:color w:val="auto"/>
          <w:sz w:val="36"/>
          <w:szCs w:val="36"/>
          <w:u w:val="single"/>
        </w:rPr>
        <w:t xml:space="preserve">      </w:t>
      </w:r>
    </w:p>
    <w:p>
      <w:pPr>
        <w:adjustRightInd w:val="0"/>
        <w:snapToGrid w:val="0"/>
        <w:spacing w:line="288" w:lineRule="auto"/>
        <w:jc w:val="center"/>
        <w:rPr>
          <w:rFonts w:hint="default" w:ascii="Times New Roman" w:hAnsi="Times New Roman" w:eastAsia="仿宋" w:cs="Times New Roman"/>
          <w:color w:val="auto"/>
          <w:sz w:val="36"/>
          <w:szCs w:val="36"/>
        </w:rPr>
      </w:pPr>
    </w:p>
    <w:p>
      <w:pPr>
        <w:adjustRightInd w:val="0"/>
        <w:snapToGrid w:val="0"/>
        <w:spacing w:line="288" w:lineRule="auto"/>
        <w:jc w:val="center"/>
        <w:rPr>
          <w:rFonts w:hint="default" w:ascii="Times New Roman" w:hAnsi="Times New Roman" w:eastAsia="仿宋" w:cs="Times New Roman"/>
          <w:color w:val="auto"/>
          <w:sz w:val="36"/>
          <w:szCs w:val="36"/>
        </w:rPr>
      </w:pPr>
    </w:p>
    <w:p>
      <w:pPr>
        <w:adjustRightInd w:val="0"/>
        <w:snapToGrid w:val="0"/>
        <w:spacing w:line="288" w:lineRule="auto"/>
        <w:jc w:val="center"/>
        <w:rPr>
          <w:rFonts w:hint="default" w:ascii="Times New Roman" w:hAnsi="Times New Roman" w:eastAsia="仿宋" w:cs="Times New Roman"/>
          <w:color w:val="auto"/>
          <w:sz w:val="36"/>
          <w:szCs w:val="36"/>
        </w:rPr>
      </w:pPr>
    </w:p>
    <w:p>
      <w:pPr>
        <w:pStyle w:val="20"/>
        <w:rPr>
          <w:rFonts w:hint="default" w:ascii="Times New Roman" w:hAnsi="Times New Roman" w:eastAsia="仿宋" w:cs="Times New Roman"/>
          <w:color w:val="auto"/>
          <w:sz w:val="36"/>
          <w:szCs w:val="36"/>
        </w:rPr>
      </w:pPr>
    </w:p>
    <w:p>
      <w:pPr>
        <w:pStyle w:val="20"/>
        <w:rPr>
          <w:rFonts w:hint="default" w:ascii="Times New Roman" w:hAnsi="Times New Roman" w:eastAsia="仿宋" w:cs="Times New Roman"/>
          <w:color w:val="auto"/>
          <w:sz w:val="36"/>
          <w:szCs w:val="36"/>
        </w:rPr>
      </w:pPr>
    </w:p>
    <w:p>
      <w:pPr>
        <w:pStyle w:val="20"/>
        <w:rPr>
          <w:rFonts w:hint="default" w:ascii="Times New Roman" w:hAnsi="Times New Roman" w:eastAsia="仿宋" w:cs="Times New Roman"/>
          <w:color w:val="auto"/>
          <w:sz w:val="36"/>
          <w:szCs w:val="36"/>
        </w:rPr>
      </w:pPr>
    </w:p>
    <w:p>
      <w:pPr>
        <w:pStyle w:val="20"/>
        <w:rPr>
          <w:rFonts w:hint="default" w:ascii="Times New Roman" w:hAnsi="Times New Roman" w:eastAsia="仿宋" w:cs="Times New Roman"/>
          <w:color w:val="auto"/>
          <w:sz w:val="36"/>
          <w:szCs w:val="36"/>
        </w:rPr>
      </w:pPr>
    </w:p>
    <w:p>
      <w:pPr>
        <w:adjustRightInd w:val="0"/>
        <w:snapToGrid w:val="0"/>
        <w:spacing w:line="288" w:lineRule="auto"/>
        <w:jc w:val="center"/>
        <w:rPr>
          <w:rFonts w:ascii="Times New Roman" w:hAnsi="Times New Roman" w:eastAsia="楷体_GB2312"/>
          <w:color w:val="auto"/>
          <w:sz w:val="36"/>
          <w:szCs w:val="36"/>
        </w:rPr>
      </w:pPr>
      <w:r>
        <w:rPr>
          <w:rFonts w:hint="eastAsia" w:ascii="Times New Roman" w:hAnsi="Times New Roman" w:eastAsia="楷体_GB2312"/>
          <w:color w:val="auto"/>
          <w:sz w:val="36"/>
          <w:szCs w:val="36"/>
        </w:rPr>
        <w:t>中华人民共和国生态环境部制</w:t>
      </w:r>
    </w:p>
    <w:p>
      <w:pPr>
        <w:pStyle w:val="20"/>
        <w:rPr>
          <w:rFonts w:hint="default" w:ascii="Times New Roman" w:hAnsi="Times New Roman" w:eastAsia="仿宋" w:cs="Times New Roman"/>
          <w:color w:val="auto"/>
          <w:sz w:val="36"/>
          <w:szCs w:val="36"/>
        </w:rPr>
      </w:pPr>
      <w:r>
        <w:rPr>
          <w:rFonts w:ascii="Times New Roman" w:hAnsi="Times New Roman" w:eastAsia="仿宋_GB2312"/>
          <w:color w:val="auto"/>
          <w:sz w:val="36"/>
          <w:szCs w:val="36"/>
        </w:rPr>
        <w:br w:type="page"/>
      </w:r>
    </w:p>
    <w:p>
      <w:pPr>
        <w:widowControl/>
        <w:jc w:val="left"/>
        <w:rPr>
          <w:rFonts w:hint="default" w:ascii="Times New Roman" w:hAnsi="Times New Roman" w:eastAsia="仿宋" w:cs="Times New Roman"/>
          <w:color w:val="auto"/>
          <w:sz w:val="36"/>
          <w:szCs w:val="36"/>
        </w:rPr>
        <w:sectPr>
          <w:headerReference r:id="rId3" w:type="default"/>
          <w:footerReference r:id="rId4" w:type="default"/>
          <w:pgSz w:w="11906" w:h="16838"/>
          <w:pgMar w:top="1701" w:right="1531" w:bottom="1701" w:left="1531" w:header="851" w:footer="1077" w:gutter="0"/>
          <w:pgNumType w:start="1"/>
          <w:cols w:space="720" w:num="1"/>
          <w:docGrid w:linePitch="312" w:charSpace="0"/>
        </w:sectPr>
      </w:pPr>
    </w:p>
    <w:p>
      <w:pPr>
        <w:pStyle w:val="77"/>
        <w:jc w:val="center"/>
        <w:rPr>
          <w:rFonts w:hint="default" w:ascii="Times New Roman" w:hAnsi="Times New Roman" w:eastAsia="仿宋" w:cs="Times New Roman"/>
          <w:color w:val="auto"/>
          <w:kern w:val="2"/>
          <w:sz w:val="21"/>
          <w:szCs w:val="24"/>
          <w:lang w:val="zh-CN"/>
        </w:rPr>
      </w:pPr>
    </w:p>
    <w:sdt>
      <w:sdtPr>
        <w:rPr>
          <w:rFonts w:hint="default" w:ascii="Times New Roman" w:hAnsi="Times New Roman" w:eastAsia="仿宋" w:cs="Times New Roman"/>
          <w:color w:val="auto"/>
          <w:kern w:val="2"/>
          <w:sz w:val="21"/>
          <w:szCs w:val="24"/>
          <w:lang w:val="zh-CN"/>
        </w:rPr>
        <w:id w:val="359317074"/>
        <w:docPartObj>
          <w:docPartGallery w:val="Table of Contents"/>
          <w:docPartUnique/>
        </w:docPartObj>
      </w:sdtPr>
      <w:sdtEndPr>
        <w:rPr>
          <w:rFonts w:hint="default" w:ascii="Times New Roman" w:hAnsi="Times New Roman" w:eastAsia="仿宋" w:cs="Times New Roman"/>
          <w:b/>
          <w:bCs/>
          <w:color w:val="auto"/>
          <w:kern w:val="2"/>
          <w:sz w:val="21"/>
          <w:szCs w:val="24"/>
          <w:lang w:val="zh-CN"/>
        </w:rPr>
      </w:sdtEndPr>
      <w:sdtContent>
        <w:p>
          <w:pPr>
            <w:pStyle w:val="77"/>
            <w:jc w:val="center"/>
            <w:rPr>
              <w:rFonts w:hint="default" w:ascii="Times New Roman" w:hAnsi="Times New Roman" w:eastAsia="仿宋" w:cs="Times New Roman"/>
              <w:b/>
              <w:color w:val="auto"/>
              <w:lang w:val="zh-CN"/>
            </w:rPr>
          </w:pPr>
          <w:r>
            <w:rPr>
              <w:rFonts w:hint="default" w:ascii="Times New Roman" w:hAnsi="Times New Roman" w:eastAsia="仿宋" w:cs="Times New Roman"/>
              <w:b/>
              <w:color w:val="auto"/>
              <w:lang w:val="zh-CN"/>
            </w:rPr>
            <w:t>目  录</w:t>
          </w:r>
        </w:p>
        <w:p>
          <w:pPr>
            <w:rPr>
              <w:rFonts w:hint="default" w:ascii="Times New Roman" w:hAnsi="Times New Roman" w:eastAsia="仿宋" w:cs="Times New Roman"/>
              <w:color w:val="auto"/>
              <w:lang w:val="zh-CN"/>
            </w:rPr>
          </w:pPr>
        </w:p>
        <w:p>
          <w:pPr>
            <w:pStyle w:val="15"/>
            <w:tabs>
              <w:tab w:val="right" w:leader="dot" w:pos="8834"/>
            </w:tabs>
            <w:rPr>
              <w:rFonts w:hint="default" w:ascii="Times New Roman" w:hAnsi="Times New Roman" w:eastAsia="仿宋" w:cs="Times New Roman"/>
              <w:color w:val="auto"/>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TOC \o "1-3" \h \z \u </w:instrText>
          </w:r>
          <w:r>
            <w:rPr>
              <w:rFonts w:hint="default" w:ascii="Times New Roman" w:hAnsi="Times New Roman" w:eastAsia="仿宋" w:cs="Times New Roman"/>
              <w:color w:val="auto"/>
            </w:rPr>
            <w:fldChar w:fldCharType="separate"/>
          </w:r>
        </w:p>
        <w:p>
          <w:pPr>
            <w:pStyle w:val="15"/>
            <w:tabs>
              <w:tab w:val="right" w:leader="dot" w:pos="8834"/>
            </w:tabs>
            <w:spacing w:line="480" w:lineRule="auto"/>
            <w:rPr>
              <w:rFonts w:hint="default" w:ascii="Times New Roman" w:hAnsi="Times New Roman" w:eastAsia="仿宋" w:cs="Times New Roman"/>
              <w:color w:val="auto"/>
              <w:sz w:val="28"/>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"_Toc66980724" </w:instrText>
          </w:r>
          <w:r>
            <w:rPr>
              <w:rFonts w:hint="default" w:ascii="Times New Roman" w:hAnsi="Times New Roman" w:eastAsia="仿宋" w:cs="Times New Roman"/>
              <w:color w:val="auto"/>
            </w:rPr>
            <w:fldChar w:fldCharType="separate"/>
          </w:r>
          <w:r>
            <w:rPr>
              <w:rStyle w:val="26"/>
              <w:rFonts w:hint="default" w:ascii="Times New Roman" w:hAnsi="Times New Roman" w:eastAsia="仿宋" w:cs="Times New Roman"/>
              <w:snapToGrid w:val="0"/>
              <w:color w:val="auto"/>
              <w:sz w:val="28"/>
            </w:rPr>
            <w:t>一、建设项目基本情况</w:t>
          </w:r>
          <w:r>
            <w:rPr>
              <w:rFonts w:hint="default" w:ascii="Times New Roman" w:hAnsi="Times New Roman" w:eastAsia="仿宋" w:cs="Times New Roman"/>
              <w:color w:val="auto"/>
              <w:sz w:val="28"/>
            </w:rPr>
            <w:tab/>
          </w:r>
          <w:r>
            <w:rPr>
              <w:rFonts w:hint="default" w:ascii="Times New Roman" w:hAnsi="Times New Roman" w:eastAsia="仿宋" w:cs="Times New Roman"/>
              <w:color w:val="auto"/>
              <w:sz w:val="28"/>
            </w:rPr>
            <w:fldChar w:fldCharType="begin"/>
          </w:r>
          <w:r>
            <w:rPr>
              <w:rFonts w:hint="default" w:ascii="Times New Roman" w:hAnsi="Times New Roman" w:eastAsia="仿宋" w:cs="Times New Roman"/>
              <w:color w:val="auto"/>
              <w:sz w:val="28"/>
            </w:rPr>
            <w:instrText xml:space="preserve"> PAGEREF _Toc66980724 \h </w:instrText>
          </w:r>
          <w:r>
            <w:rPr>
              <w:rFonts w:hint="default" w:ascii="Times New Roman" w:hAnsi="Times New Roman" w:eastAsia="仿宋" w:cs="Times New Roman"/>
              <w:color w:val="auto"/>
              <w:sz w:val="28"/>
            </w:rPr>
            <w:fldChar w:fldCharType="separate"/>
          </w:r>
          <w:r>
            <w:rPr>
              <w:rFonts w:hint="default" w:ascii="Times New Roman" w:hAnsi="Times New Roman" w:eastAsia="仿宋" w:cs="Times New Roman"/>
              <w:color w:val="auto"/>
              <w:sz w:val="28"/>
            </w:rPr>
            <w:t>1</w:t>
          </w:r>
          <w:r>
            <w:rPr>
              <w:rFonts w:hint="default" w:ascii="Times New Roman" w:hAnsi="Times New Roman" w:eastAsia="仿宋" w:cs="Times New Roman"/>
              <w:color w:val="auto"/>
              <w:sz w:val="28"/>
            </w:rPr>
            <w:fldChar w:fldCharType="end"/>
          </w:r>
          <w:r>
            <w:rPr>
              <w:rFonts w:hint="default" w:ascii="Times New Roman" w:hAnsi="Times New Roman" w:eastAsia="仿宋" w:cs="Times New Roman"/>
              <w:color w:val="auto"/>
              <w:sz w:val="28"/>
            </w:rPr>
            <w:fldChar w:fldCharType="end"/>
          </w:r>
        </w:p>
        <w:p>
          <w:pPr>
            <w:pStyle w:val="15"/>
            <w:tabs>
              <w:tab w:val="right" w:leader="dot" w:pos="8834"/>
            </w:tabs>
            <w:spacing w:line="480" w:lineRule="auto"/>
            <w:rPr>
              <w:rFonts w:hint="default" w:ascii="Times New Roman" w:hAnsi="Times New Roman" w:eastAsia="仿宋" w:cs="Times New Roman"/>
              <w:color w:val="auto"/>
              <w:sz w:val="28"/>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"_Toc66980725" </w:instrText>
          </w:r>
          <w:r>
            <w:rPr>
              <w:rFonts w:hint="default" w:ascii="Times New Roman" w:hAnsi="Times New Roman" w:eastAsia="仿宋" w:cs="Times New Roman"/>
              <w:color w:val="auto"/>
            </w:rPr>
            <w:fldChar w:fldCharType="separate"/>
          </w:r>
          <w:r>
            <w:rPr>
              <w:rStyle w:val="26"/>
              <w:rFonts w:hint="default" w:ascii="Times New Roman" w:hAnsi="Times New Roman" w:eastAsia="仿宋" w:cs="Times New Roman"/>
              <w:snapToGrid w:val="0"/>
              <w:color w:val="auto"/>
              <w:sz w:val="28"/>
            </w:rPr>
            <w:t>二、建设内容</w:t>
          </w:r>
          <w:r>
            <w:rPr>
              <w:rFonts w:hint="default" w:ascii="Times New Roman" w:hAnsi="Times New Roman" w:eastAsia="仿宋" w:cs="Times New Roman"/>
              <w:color w:val="auto"/>
              <w:sz w:val="28"/>
            </w:rPr>
            <w:tab/>
          </w:r>
          <w:r>
            <w:rPr>
              <w:rFonts w:hint="default" w:ascii="Times New Roman" w:hAnsi="Times New Roman" w:eastAsia="仿宋" w:cs="Times New Roman"/>
              <w:color w:val="auto"/>
              <w:sz w:val="28"/>
            </w:rPr>
            <w:fldChar w:fldCharType="begin"/>
          </w:r>
          <w:r>
            <w:rPr>
              <w:rFonts w:hint="default" w:ascii="Times New Roman" w:hAnsi="Times New Roman" w:eastAsia="仿宋" w:cs="Times New Roman"/>
              <w:color w:val="auto"/>
              <w:sz w:val="28"/>
            </w:rPr>
            <w:instrText xml:space="preserve"> PAGEREF _Toc66980725 \h </w:instrText>
          </w:r>
          <w:r>
            <w:rPr>
              <w:rFonts w:hint="default" w:ascii="Times New Roman" w:hAnsi="Times New Roman" w:eastAsia="仿宋" w:cs="Times New Roman"/>
              <w:color w:val="auto"/>
              <w:sz w:val="28"/>
            </w:rPr>
            <w:fldChar w:fldCharType="separate"/>
          </w:r>
          <w:r>
            <w:rPr>
              <w:rFonts w:hint="default" w:ascii="Times New Roman" w:hAnsi="Times New Roman" w:eastAsia="仿宋" w:cs="Times New Roman"/>
              <w:color w:val="auto"/>
              <w:sz w:val="28"/>
            </w:rPr>
            <w:t>29</w:t>
          </w:r>
          <w:r>
            <w:rPr>
              <w:rFonts w:hint="default" w:ascii="Times New Roman" w:hAnsi="Times New Roman" w:eastAsia="仿宋" w:cs="Times New Roman"/>
              <w:color w:val="auto"/>
              <w:sz w:val="28"/>
            </w:rPr>
            <w:fldChar w:fldCharType="end"/>
          </w:r>
          <w:r>
            <w:rPr>
              <w:rFonts w:hint="default" w:ascii="Times New Roman" w:hAnsi="Times New Roman" w:eastAsia="仿宋" w:cs="Times New Roman"/>
              <w:color w:val="auto"/>
              <w:sz w:val="28"/>
            </w:rPr>
            <w:fldChar w:fldCharType="end"/>
          </w:r>
        </w:p>
        <w:p>
          <w:pPr>
            <w:pStyle w:val="15"/>
            <w:tabs>
              <w:tab w:val="right" w:leader="dot" w:pos="8834"/>
            </w:tabs>
            <w:spacing w:line="480" w:lineRule="auto"/>
            <w:rPr>
              <w:rFonts w:hint="default" w:ascii="Times New Roman" w:hAnsi="Times New Roman" w:eastAsia="仿宋" w:cs="Times New Roman"/>
              <w:color w:val="auto"/>
              <w:sz w:val="28"/>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"_Toc66980746" </w:instrText>
          </w:r>
          <w:r>
            <w:rPr>
              <w:rFonts w:hint="default" w:ascii="Times New Roman" w:hAnsi="Times New Roman" w:eastAsia="仿宋" w:cs="Times New Roman"/>
              <w:color w:val="auto"/>
            </w:rPr>
            <w:fldChar w:fldCharType="separate"/>
          </w:r>
          <w:r>
            <w:rPr>
              <w:rStyle w:val="26"/>
              <w:rFonts w:hint="default" w:ascii="Times New Roman" w:hAnsi="Times New Roman" w:eastAsia="仿宋" w:cs="Times New Roman"/>
              <w:snapToGrid w:val="0"/>
              <w:color w:val="auto"/>
              <w:sz w:val="28"/>
            </w:rPr>
            <w:t>三、生态环境现状、保护目标及评价标准</w:t>
          </w:r>
          <w:r>
            <w:rPr>
              <w:rFonts w:hint="default" w:ascii="Times New Roman" w:hAnsi="Times New Roman" w:eastAsia="仿宋" w:cs="Times New Roman"/>
              <w:color w:val="auto"/>
              <w:sz w:val="28"/>
            </w:rPr>
            <w:tab/>
          </w:r>
          <w:r>
            <w:rPr>
              <w:rFonts w:hint="default" w:ascii="Times New Roman" w:hAnsi="Times New Roman" w:eastAsia="仿宋" w:cs="Times New Roman"/>
              <w:color w:val="auto"/>
              <w:sz w:val="28"/>
            </w:rPr>
            <w:fldChar w:fldCharType="begin"/>
          </w:r>
          <w:r>
            <w:rPr>
              <w:rFonts w:hint="default" w:ascii="Times New Roman" w:hAnsi="Times New Roman" w:eastAsia="仿宋" w:cs="Times New Roman"/>
              <w:color w:val="auto"/>
              <w:sz w:val="28"/>
            </w:rPr>
            <w:instrText xml:space="preserve"> PAGEREF _Toc66980746 \h </w:instrText>
          </w:r>
          <w:r>
            <w:rPr>
              <w:rFonts w:hint="default" w:ascii="Times New Roman" w:hAnsi="Times New Roman" w:eastAsia="仿宋" w:cs="Times New Roman"/>
              <w:color w:val="auto"/>
              <w:sz w:val="28"/>
            </w:rPr>
            <w:fldChar w:fldCharType="separate"/>
          </w:r>
          <w:r>
            <w:rPr>
              <w:rFonts w:hint="default" w:ascii="Times New Roman" w:hAnsi="Times New Roman" w:eastAsia="仿宋" w:cs="Times New Roman"/>
              <w:color w:val="auto"/>
              <w:sz w:val="28"/>
            </w:rPr>
            <w:t>52</w:t>
          </w:r>
          <w:r>
            <w:rPr>
              <w:rFonts w:hint="default" w:ascii="Times New Roman" w:hAnsi="Times New Roman" w:eastAsia="仿宋" w:cs="Times New Roman"/>
              <w:color w:val="auto"/>
              <w:sz w:val="28"/>
            </w:rPr>
            <w:fldChar w:fldCharType="end"/>
          </w:r>
          <w:r>
            <w:rPr>
              <w:rFonts w:hint="default" w:ascii="Times New Roman" w:hAnsi="Times New Roman" w:eastAsia="仿宋" w:cs="Times New Roman"/>
              <w:color w:val="auto"/>
              <w:sz w:val="28"/>
            </w:rPr>
            <w:fldChar w:fldCharType="end"/>
          </w:r>
        </w:p>
        <w:p>
          <w:pPr>
            <w:pStyle w:val="15"/>
            <w:tabs>
              <w:tab w:val="right" w:leader="dot" w:pos="8834"/>
            </w:tabs>
            <w:spacing w:line="480" w:lineRule="auto"/>
            <w:rPr>
              <w:rFonts w:hint="default" w:ascii="Times New Roman" w:hAnsi="Times New Roman" w:eastAsia="仿宋" w:cs="Times New Roman"/>
              <w:color w:val="auto"/>
              <w:sz w:val="28"/>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"_Toc66980747" </w:instrText>
          </w:r>
          <w:r>
            <w:rPr>
              <w:rFonts w:hint="default" w:ascii="Times New Roman" w:hAnsi="Times New Roman" w:eastAsia="仿宋" w:cs="Times New Roman"/>
              <w:color w:val="auto"/>
            </w:rPr>
            <w:fldChar w:fldCharType="separate"/>
          </w:r>
          <w:r>
            <w:rPr>
              <w:rStyle w:val="26"/>
              <w:rFonts w:hint="default" w:ascii="Times New Roman" w:hAnsi="Times New Roman" w:eastAsia="仿宋" w:cs="Times New Roman"/>
              <w:snapToGrid w:val="0"/>
              <w:color w:val="auto"/>
              <w:sz w:val="28"/>
            </w:rPr>
            <w:t>四、生态环境影响分析</w:t>
          </w:r>
          <w:r>
            <w:rPr>
              <w:rFonts w:hint="default" w:ascii="Times New Roman" w:hAnsi="Times New Roman" w:eastAsia="仿宋" w:cs="Times New Roman"/>
              <w:color w:val="auto"/>
              <w:sz w:val="28"/>
            </w:rPr>
            <w:tab/>
          </w:r>
          <w:r>
            <w:rPr>
              <w:rFonts w:hint="default" w:ascii="Times New Roman" w:hAnsi="Times New Roman" w:eastAsia="仿宋" w:cs="Times New Roman"/>
              <w:color w:val="auto"/>
              <w:sz w:val="28"/>
            </w:rPr>
            <w:fldChar w:fldCharType="begin"/>
          </w:r>
          <w:r>
            <w:rPr>
              <w:rFonts w:hint="default" w:ascii="Times New Roman" w:hAnsi="Times New Roman" w:eastAsia="仿宋" w:cs="Times New Roman"/>
              <w:color w:val="auto"/>
              <w:sz w:val="28"/>
            </w:rPr>
            <w:instrText xml:space="preserve"> PAGEREF _Toc66980747 \h </w:instrText>
          </w:r>
          <w:r>
            <w:rPr>
              <w:rFonts w:hint="default" w:ascii="Times New Roman" w:hAnsi="Times New Roman" w:eastAsia="仿宋" w:cs="Times New Roman"/>
              <w:color w:val="auto"/>
              <w:sz w:val="28"/>
            </w:rPr>
            <w:fldChar w:fldCharType="separate"/>
          </w:r>
          <w:r>
            <w:rPr>
              <w:rFonts w:hint="default" w:ascii="Times New Roman" w:hAnsi="Times New Roman" w:eastAsia="仿宋" w:cs="Times New Roman"/>
              <w:color w:val="auto"/>
              <w:sz w:val="28"/>
            </w:rPr>
            <w:t>60</w:t>
          </w:r>
          <w:r>
            <w:rPr>
              <w:rFonts w:hint="default" w:ascii="Times New Roman" w:hAnsi="Times New Roman" w:eastAsia="仿宋" w:cs="Times New Roman"/>
              <w:color w:val="auto"/>
              <w:sz w:val="28"/>
            </w:rPr>
            <w:fldChar w:fldCharType="end"/>
          </w:r>
          <w:r>
            <w:rPr>
              <w:rFonts w:hint="default" w:ascii="Times New Roman" w:hAnsi="Times New Roman" w:eastAsia="仿宋" w:cs="Times New Roman"/>
              <w:color w:val="auto"/>
              <w:sz w:val="28"/>
            </w:rPr>
            <w:fldChar w:fldCharType="end"/>
          </w:r>
        </w:p>
        <w:p>
          <w:pPr>
            <w:pStyle w:val="15"/>
            <w:tabs>
              <w:tab w:val="right" w:leader="dot" w:pos="8834"/>
            </w:tabs>
            <w:spacing w:line="480" w:lineRule="auto"/>
            <w:rPr>
              <w:rFonts w:hint="default" w:ascii="Times New Roman" w:hAnsi="Times New Roman" w:eastAsia="仿宋" w:cs="Times New Roman"/>
              <w:color w:val="auto"/>
              <w:sz w:val="28"/>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"_Toc66980748" </w:instrText>
          </w:r>
          <w:r>
            <w:rPr>
              <w:rFonts w:hint="default" w:ascii="Times New Roman" w:hAnsi="Times New Roman" w:eastAsia="仿宋" w:cs="Times New Roman"/>
              <w:color w:val="auto"/>
            </w:rPr>
            <w:fldChar w:fldCharType="separate"/>
          </w:r>
          <w:r>
            <w:rPr>
              <w:rStyle w:val="26"/>
              <w:rFonts w:hint="default" w:ascii="Times New Roman" w:hAnsi="Times New Roman" w:eastAsia="仿宋" w:cs="Times New Roman"/>
              <w:snapToGrid w:val="0"/>
              <w:color w:val="auto"/>
              <w:sz w:val="28"/>
            </w:rPr>
            <w:t>五、主要生态环境保护措施</w:t>
          </w:r>
          <w:r>
            <w:rPr>
              <w:rFonts w:hint="default" w:ascii="Times New Roman" w:hAnsi="Times New Roman" w:eastAsia="仿宋" w:cs="Times New Roman"/>
              <w:color w:val="auto"/>
              <w:sz w:val="28"/>
            </w:rPr>
            <w:tab/>
          </w:r>
          <w:r>
            <w:rPr>
              <w:rFonts w:hint="default" w:ascii="Times New Roman" w:hAnsi="Times New Roman" w:eastAsia="仿宋" w:cs="Times New Roman"/>
              <w:color w:val="auto"/>
              <w:sz w:val="28"/>
            </w:rPr>
            <w:fldChar w:fldCharType="begin"/>
          </w:r>
          <w:r>
            <w:rPr>
              <w:rFonts w:hint="default" w:ascii="Times New Roman" w:hAnsi="Times New Roman" w:eastAsia="仿宋" w:cs="Times New Roman"/>
              <w:color w:val="auto"/>
              <w:sz w:val="28"/>
            </w:rPr>
            <w:instrText xml:space="preserve"> PAGEREF _Toc66980748 \h </w:instrText>
          </w:r>
          <w:r>
            <w:rPr>
              <w:rFonts w:hint="default" w:ascii="Times New Roman" w:hAnsi="Times New Roman" w:eastAsia="仿宋" w:cs="Times New Roman"/>
              <w:color w:val="auto"/>
              <w:sz w:val="28"/>
            </w:rPr>
            <w:fldChar w:fldCharType="separate"/>
          </w:r>
          <w:r>
            <w:rPr>
              <w:rFonts w:hint="default" w:ascii="Times New Roman" w:hAnsi="Times New Roman" w:eastAsia="仿宋" w:cs="Times New Roman"/>
              <w:color w:val="auto"/>
              <w:sz w:val="28"/>
            </w:rPr>
            <w:t>89</w:t>
          </w:r>
          <w:r>
            <w:rPr>
              <w:rFonts w:hint="default" w:ascii="Times New Roman" w:hAnsi="Times New Roman" w:eastAsia="仿宋" w:cs="Times New Roman"/>
              <w:color w:val="auto"/>
              <w:sz w:val="28"/>
            </w:rPr>
            <w:fldChar w:fldCharType="end"/>
          </w:r>
          <w:r>
            <w:rPr>
              <w:rFonts w:hint="default" w:ascii="Times New Roman" w:hAnsi="Times New Roman" w:eastAsia="仿宋" w:cs="Times New Roman"/>
              <w:color w:val="auto"/>
              <w:sz w:val="28"/>
            </w:rPr>
            <w:fldChar w:fldCharType="end"/>
          </w:r>
        </w:p>
        <w:p>
          <w:pPr>
            <w:pStyle w:val="15"/>
            <w:tabs>
              <w:tab w:val="right" w:leader="dot" w:pos="8834"/>
            </w:tabs>
            <w:spacing w:line="480" w:lineRule="auto"/>
            <w:rPr>
              <w:rFonts w:hint="default" w:ascii="Times New Roman" w:hAnsi="Times New Roman" w:eastAsia="仿宋" w:cs="Times New Roman"/>
              <w:color w:val="auto"/>
              <w:sz w:val="28"/>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"_Toc66980749" </w:instrText>
          </w:r>
          <w:r>
            <w:rPr>
              <w:rFonts w:hint="default" w:ascii="Times New Roman" w:hAnsi="Times New Roman" w:eastAsia="仿宋" w:cs="Times New Roman"/>
              <w:color w:val="auto"/>
            </w:rPr>
            <w:fldChar w:fldCharType="separate"/>
          </w:r>
          <w:r>
            <w:rPr>
              <w:rStyle w:val="26"/>
              <w:rFonts w:hint="default" w:ascii="Times New Roman" w:hAnsi="Times New Roman" w:eastAsia="仿宋" w:cs="Times New Roman"/>
              <w:snapToGrid w:val="0"/>
              <w:color w:val="auto"/>
              <w:sz w:val="28"/>
            </w:rPr>
            <w:t>六、生态环境保护措施监督检查清单</w:t>
          </w:r>
          <w:r>
            <w:rPr>
              <w:rFonts w:hint="default" w:ascii="Times New Roman" w:hAnsi="Times New Roman" w:eastAsia="仿宋" w:cs="Times New Roman"/>
              <w:color w:val="auto"/>
              <w:sz w:val="28"/>
            </w:rPr>
            <w:tab/>
          </w:r>
          <w:r>
            <w:rPr>
              <w:rFonts w:hint="default" w:ascii="Times New Roman" w:hAnsi="Times New Roman" w:eastAsia="仿宋" w:cs="Times New Roman"/>
              <w:color w:val="auto"/>
              <w:sz w:val="28"/>
            </w:rPr>
            <w:fldChar w:fldCharType="begin"/>
          </w:r>
          <w:r>
            <w:rPr>
              <w:rFonts w:hint="default" w:ascii="Times New Roman" w:hAnsi="Times New Roman" w:eastAsia="仿宋" w:cs="Times New Roman"/>
              <w:color w:val="auto"/>
              <w:sz w:val="28"/>
            </w:rPr>
            <w:instrText xml:space="preserve"> PAGEREF _Toc66980749 \h </w:instrText>
          </w:r>
          <w:r>
            <w:rPr>
              <w:rFonts w:hint="default" w:ascii="Times New Roman" w:hAnsi="Times New Roman" w:eastAsia="仿宋" w:cs="Times New Roman"/>
              <w:color w:val="auto"/>
              <w:sz w:val="28"/>
            </w:rPr>
            <w:fldChar w:fldCharType="separate"/>
          </w:r>
          <w:r>
            <w:rPr>
              <w:rFonts w:hint="default" w:ascii="Times New Roman" w:hAnsi="Times New Roman" w:eastAsia="仿宋" w:cs="Times New Roman"/>
              <w:color w:val="auto"/>
              <w:sz w:val="28"/>
            </w:rPr>
            <w:t>111</w:t>
          </w:r>
          <w:r>
            <w:rPr>
              <w:rFonts w:hint="default" w:ascii="Times New Roman" w:hAnsi="Times New Roman" w:eastAsia="仿宋" w:cs="Times New Roman"/>
              <w:color w:val="auto"/>
              <w:sz w:val="28"/>
            </w:rPr>
            <w:fldChar w:fldCharType="end"/>
          </w:r>
          <w:r>
            <w:rPr>
              <w:rFonts w:hint="default" w:ascii="Times New Roman" w:hAnsi="Times New Roman" w:eastAsia="仿宋" w:cs="Times New Roman"/>
              <w:color w:val="auto"/>
              <w:sz w:val="28"/>
            </w:rPr>
            <w:fldChar w:fldCharType="end"/>
          </w:r>
        </w:p>
        <w:p>
          <w:pPr>
            <w:pStyle w:val="15"/>
            <w:tabs>
              <w:tab w:val="right" w:leader="dot" w:pos="8834"/>
            </w:tabs>
            <w:spacing w:line="480" w:lineRule="auto"/>
            <w:rPr>
              <w:rFonts w:hint="default" w:ascii="Times New Roman" w:hAnsi="Times New Roman" w:eastAsia="仿宋" w:cs="Times New Roman"/>
              <w:color w:val="auto"/>
              <w:sz w:val="28"/>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"_Toc66980758" </w:instrText>
          </w:r>
          <w:r>
            <w:rPr>
              <w:rFonts w:hint="default" w:ascii="Times New Roman" w:hAnsi="Times New Roman" w:eastAsia="仿宋" w:cs="Times New Roman"/>
              <w:color w:val="auto"/>
            </w:rPr>
            <w:fldChar w:fldCharType="separate"/>
          </w:r>
          <w:r>
            <w:rPr>
              <w:rStyle w:val="26"/>
              <w:rFonts w:hint="default" w:ascii="Times New Roman" w:hAnsi="Times New Roman" w:eastAsia="仿宋" w:cs="Times New Roman"/>
              <w:snapToGrid w:val="0"/>
              <w:color w:val="auto"/>
              <w:sz w:val="28"/>
            </w:rPr>
            <w:t>七、结论</w:t>
          </w:r>
          <w:r>
            <w:rPr>
              <w:rFonts w:hint="default" w:ascii="Times New Roman" w:hAnsi="Times New Roman" w:eastAsia="仿宋" w:cs="Times New Roman"/>
              <w:color w:val="auto"/>
              <w:sz w:val="28"/>
            </w:rPr>
            <w:tab/>
          </w:r>
          <w:r>
            <w:rPr>
              <w:rFonts w:hint="default" w:ascii="Times New Roman" w:hAnsi="Times New Roman" w:eastAsia="仿宋" w:cs="Times New Roman"/>
              <w:color w:val="auto"/>
              <w:sz w:val="28"/>
            </w:rPr>
            <w:fldChar w:fldCharType="begin"/>
          </w:r>
          <w:r>
            <w:rPr>
              <w:rFonts w:hint="default" w:ascii="Times New Roman" w:hAnsi="Times New Roman" w:eastAsia="仿宋" w:cs="Times New Roman"/>
              <w:color w:val="auto"/>
              <w:sz w:val="28"/>
            </w:rPr>
            <w:instrText xml:space="preserve"> PAGEREF _Toc66980758 \h </w:instrText>
          </w:r>
          <w:r>
            <w:rPr>
              <w:rFonts w:hint="default" w:ascii="Times New Roman" w:hAnsi="Times New Roman" w:eastAsia="仿宋" w:cs="Times New Roman"/>
              <w:color w:val="auto"/>
              <w:sz w:val="28"/>
            </w:rPr>
            <w:fldChar w:fldCharType="separate"/>
          </w:r>
          <w:r>
            <w:rPr>
              <w:rFonts w:hint="default" w:ascii="Times New Roman" w:hAnsi="Times New Roman" w:eastAsia="仿宋" w:cs="Times New Roman"/>
              <w:color w:val="auto"/>
              <w:sz w:val="28"/>
            </w:rPr>
            <w:t>118</w:t>
          </w:r>
          <w:r>
            <w:rPr>
              <w:rFonts w:hint="default" w:ascii="Times New Roman" w:hAnsi="Times New Roman" w:eastAsia="仿宋" w:cs="Times New Roman"/>
              <w:color w:val="auto"/>
              <w:sz w:val="28"/>
            </w:rPr>
            <w:fldChar w:fldCharType="end"/>
          </w:r>
          <w:r>
            <w:rPr>
              <w:rFonts w:hint="default" w:ascii="Times New Roman" w:hAnsi="Times New Roman" w:eastAsia="仿宋" w:cs="Times New Roman"/>
              <w:color w:val="auto"/>
              <w:sz w:val="28"/>
            </w:rPr>
            <w:fldChar w:fldCharType="end"/>
          </w:r>
        </w:p>
        <w:p>
          <w:pPr>
            <w:rPr>
              <w:rFonts w:hint="default" w:ascii="Times New Roman" w:hAnsi="Times New Roman" w:eastAsia="仿宋" w:cs="Times New Roman"/>
              <w:color w:val="auto"/>
            </w:rPr>
          </w:pPr>
          <w:r>
            <w:rPr>
              <w:rFonts w:hint="default" w:ascii="Times New Roman" w:hAnsi="Times New Roman" w:eastAsia="仿宋" w:cs="Times New Roman"/>
              <w:b/>
              <w:bCs/>
              <w:color w:val="auto"/>
              <w:lang w:val="zh-CN"/>
            </w:rPr>
            <w:fldChar w:fldCharType="end"/>
          </w:r>
        </w:p>
      </w:sdtContent>
    </w:sdt>
    <w:p>
      <w:pPr>
        <w:widowControl/>
        <w:jc w:val="left"/>
        <w:rPr>
          <w:rFonts w:hint="default" w:ascii="Times New Roman" w:hAnsi="Times New Roman" w:eastAsia="仿宋" w:cs="Times New Roman"/>
          <w:color w:val="auto"/>
          <w:sz w:val="36"/>
          <w:szCs w:val="36"/>
        </w:rPr>
      </w:pPr>
    </w:p>
    <w:p>
      <w:pPr>
        <w:rPr>
          <w:rFonts w:hint="default" w:ascii="Times New Roman" w:hAnsi="Times New Roman" w:eastAsia="仿宋" w:cs="Times New Roman"/>
          <w:color w:val="auto"/>
          <w:sz w:val="36"/>
          <w:szCs w:val="36"/>
        </w:rPr>
      </w:pPr>
      <w:r>
        <w:rPr>
          <w:rFonts w:hint="default" w:ascii="Times New Roman" w:hAnsi="Times New Roman" w:eastAsia="仿宋" w:cs="Times New Roman"/>
          <w:color w:val="auto"/>
          <w:sz w:val="36"/>
          <w:szCs w:val="36"/>
        </w:rPr>
        <w:br w:type="page"/>
      </w:r>
    </w:p>
    <w:p>
      <w:pPr>
        <w:adjustRightInd w:val="0"/>
        <w:snapToGrid w:val="0"/>
        <w:spacing w:line="360" w:lineRule="auto"/>
        <w:jc w:val="both"/>
        <w:rPr>
          <w:rFonts w:hint="eastAsia" w:ascii="Times New Roman" w:hAnsi="Times New Roman" w:eastAsia="仿宋" w:cs="Times New Roman"/>
          <w:b/>
          <w:bCs/>
          <w:color w:val="auto"/>
          <w:sz w:val="24"/>
          <w:lang w:val="en-US" w:eastAsia="zh-CN"/>
        </w:rPr>
      </w:pPr>
      <w:r>
        <w:rPr>
          <w:rFonts w:hint="eastAsia" w:ascii="Times New Roman" w:hAnsi="Times New Roman" w:eastAsia="仿宋" w:cs="Times New Roman"/>
          <w:b/>
          <w:bCs/>
          <w:color w:val="auto"/>
          <w:sz w:val="24"/>
          <w:lang w:val="en-US" w:eastAsia="zh-CN"/>
        </w:rPr>
        <w:t>附件：</w:t>
      </w:r>
    </w:p>
    <w:p>
      <w:pPr>
        <w:adjustRightInd w:val="0"/>
        <w:snapToGrid w:val="0"/>
        <w:spacing w:line="360" w:lineRule="auto"/>
        <w:jc w:val="both"/>
        <w:rPr>
          <w:rFonts w:hint="eastAsia" w:eastAsia="仿宋" w:cs="Times New Roman"/>
          <w:color w:val="auto"/>
          <w:sz w:val="24"/>
          <w:lang w:val="en-US" w:eastAsia="zh-CN"/>
        </w:rPr>
      </w:pPr>
      <w:r>
        <w:rPr>
          <w:rFonts w:hint="eastAsia" w:eastAsia="仿宋" w:cs="Times New Roman"/>
          <w:color w:val="auto"/>
          <w:sz w:val="24"/>
          <w:lang w:val="en-US" w:eastAsia="zh-CN"/>
        </w:rPr>
        <w:t>附件1 环评委托书</w:t>
      </w:r>
    </w:p>
    <w:p>
      <w:pPr>
        <w:adjustRightInd w:val="0"/>
        <w:snapToGrid w:val="0"/>
        <w:spacing w:line="360" w:lineRule="auto"/>
        <w:jc w:val="both"/>
        <w:rPr>
          <w:rFonts w:hint="default" w:eastAsia="仿宋" w:cs="Times New Roman"/>
          <w:color w:val="auto"/>
          <w:sz w:val="24"/>
          <w:lang w:val="en-US" w:eastAsia="zh-CN"/>
        </w:rPr>
      </w:pPr>
      <w:r>
        <w:rPr>
          <w:rFonts w:hint="eastAsia" w:eastAsia="仿宋" w:cs="Times New Roman"/>
          <w:color w:val="auto"/>
          <w:sz w:val="24"/>
          <w:lang w:val="en-US" w:eastAsia="zh-CN"/>
        </w:rPr>
        <w:t>附件2 项目核准批复</w:t>
      </w:r>
    </w:p>
    <w:p>
      <w:pPr>
        <w:adjustRightInd w:val="0"/>
        <w:snapToGrid w:val="0"/>
        <w:spacing w:line="360" w:lineRule="auto"/>
        <w:jc w:val="both"/>
        <w:rPr>
          <w:rFonts w:hint="eastAsia" w:eastAsia="仿宋" w:cs="Times New Roman"/>
          <w:color w:val="auto"/>
          <w:sz w:val="24"/>
          <w:lang w:val="en-US" w:eastAsia="zh-CN"/>
        </w:rPr>
      </w:pPr>
      <w:r>
        <w:rPr>
          <w:rFonts w:hint="eastAsia" w:eastAsia="仿宋" w:cs="Times New Roman"/>
          <w:color w:val="auto"/>
          <w:sz w:val="24"/>
          <w:lang w:val="en-US" w:eastAsia="zh-CN"/>
        </w:rPr>
        <w:t>附件3 项目用地预审与选址意见书</w:t>
      </w:r>
    </w:p>
    <w:p>
      <w:pPr>
        <w:adjustRightInd w:val="0"/>
        <w:snapToGrid w:val="0"/>
        <w:spacing w:line="360" w:lineRule="auto"/>
        <w:jc w:val="both"/>
        <w:rPr>
          <w:rFonts w:hint="default" w:eastAsia="仿宋" w:cs="Times New Roman"/>
          <w:color w:val="auto"/>
          <w:sz w:val="24"/>
          <w:lang w:val="en-US" w:eastAsia="zh-CN"/>
        </w:rPr>
      </w:pPr>
      <w:r>
        <w:rPr>
          <w:rFonts w:hint="eastAsia" w:eastAsia="仿宋" w:cs="Times New Roman"/>
          <w:color w:val="auto"/>
          <w:sz w:val="24"/>
          <w:lang w:val="en-US" w:eastAsia="zh-CN"/>
        </w:rPr>
        <w:t>附件4 林业局前期支持性意见</w:t>
      </w:r>
    </w:p>
    <w:p>
      <w:pPr>
        <w:adjustRightInd w:val="0"/>
        <w:snapToGrid w:val="0"/>
        <w:spacing w:line="360" w:lineRule="auto"/>
        <w:jc w:val="both"/>
        <w:rPr>
          <w:rFonts w:hint="eastAsia" w:eastAsia="仿宋" w:cs="Times New Roman"/>
          <w:color w:val="auto"/>
          <w:sz w:val="24"/>
          <w:lang w:val="en-US" w:eastAsia="zh-CN"/>
        </w:rPr>
      </w:pPr>
      <w:r>
        <w:rPr>
          <w:rFonts w:hint="eastAsia" w:eastAsia="仿宋" w:cs="Times New Roman"/>
          <w:color w:val="auto"/>
          <w:sz w:val="24"/>
          <w:lang w:val="en-US" w:eastAsia="zh-CN"/>
        </w:rPr>
        <w:t>附件5 水利局前期支持性意见</w:t>
      </w:r>
    </w:p>
    <w:p>
      <w:pPr>
        <w:adjustRightInd w:val="0"/>
        <w:snapToGrid w:val="0"/>
        <w:spacing w:line="360" w:lineRule="auto"/>
        <w:jc w:val="both"/>
        <w:rPr>
          <w:rFonts w:hint="eastAsia" w:eastAsia="仿宋" w:cs="Times New Roman"/>
          <w:color w:val="auto"/>
          <w:sz w:val="24"/>
          <w:lang w:val="en-US" w:eastAsia="zh-CN"/>
        </w:rPr>
      </w:pPr>
      <w:r>
        <w:rPr>
          <w:rFonts w:hint="eastAsia" w:eastAsia="仿宋" w:cs="Times New Roman"/>
          <w:color w:val="auto"/>
          <w:sz w:val="24"/>
          <w:lang w:val="en-US" w:eastAsia="zh-CN"/>
        </w:rPr>
        <w:t>附件6 自规局前期支持性意见</w:t>
      </w:r>
    </w:p>
    <w:p>
      <w:pPr>
        <w:adjustRightInd w:val="0"/>
        <w:snapToGrid w:val="0"/>
        <w:spacing w:line="360" w:lineRule="auto"/>
        <w:jc w:val="both"/>
        <w:rPr>
          <w:rFonts w:hint="eastAsia" w:eastAsia="仿宋" w:cs="Times New Roman"/>
          <w:color w:val="auto"/>
          <w:sz w:val="24"/>
          <w:lang w:val="en-US" w:eastAsia="zh-CN"/>
        </w:rPr>
      </w:pPr>
      <w:r>
        <w:rPr>
          <w:rFonts w:hint="eastAsia" w:eastAsia="仿宋" w:cs="Times New Roman"/>
          <w:color w:val="auto"/>
          <w:sz w:val="24"/>
          <w:lang w:val="en-US" w:eastAsia="zh-CN"/>
        </w:rPr>
        <w:t>附件7 生态环境局前期支持性意见</w:t>
      </w:r>
    </w:p>
    <w:p>
      <w:pPr>
        <w:adjustRightInd w:val="0"/>
        <w:snapToGrid w:val="0"/>
        <w:spacing w:line="360" w:lineRule="auto"/>
        <w:jc w:val="both"/>
        <w:rPr>
          <w:rFonts w:hint="eastAsia" w:eastAsia="仿宋" w:cs="Times New Roman"/>
          <w:color w:val="auto"/>
          <w:sz w:val="24"/>
          <w:lang w:val="en-US" w:eastAsia="zh-CN"/>
        </w:rPr>
      </w:pPr>
      <w:r>
        <w:rPr>
          <w:rFonts w:hint="eastAsia" w:eastAsia="仿宋" w:cs="Times New Roman"/>
          <w:color w:val="auto"/>
          <w:sz w:val="24"/>
          <w:lang w:val="en-US" w:eastAsia="zh-CN"/>
        </w:rPr>
        <w:t>附件8 现状环境质量监测报告</w:t>
      </w:r>
    </w:p>
    <w:p>
      <w:pPr>
        <w:adjustRightInd w:val="0"/>
        <w:snapToGrid w:val="0"/>
        <w:spacing w:line="360" w:lineRule="auto"/>
        <w:jc w:val="both"/>
        <w:rPr>
          <w:rFonts w:hint="eastAsia" w:eastAsia="仿宋" w:cs="Times New Roman"/>
          <w:color w:val="auto"/>
          <w:sz w:val="24"/>
          <w:lang w:val="en-US" w:eastAsia="zh-CN"/>
        </w:rPr>
      </w:pPr>
    </w:p>
    <w:p>
      <w:pPr>
        <w:adjustRightInd w:val="0"/>
        <w:snapToGrid w:val="0"/>
        <w:spacing w:line="360" w:lineRule="auto"/>
        <w:jc w:val="both"/>
        <w:rPr>
          <w:rFonts w:hint="eastAsia" w:eastAsia="仿宋" w:cs="Times New Roman"/>
          <w:b/>
          <w:bCs/>
          <w:color w:val="auto"/>
          <w:sz w:val="24"/>
          <w:lang w:val="en-US" w:eastAsia="zh-CN"/>
        </w:rPr>
      </w:pPr>
      <w:r>
        <w:rPr>
          <w:rFonts w:hint="eastAsia" w:eastAsia="仿宋" w:cs="Times New Roman"/>
          <w:b/>
          <w:bCs/>
          <w:color w:val="auto"/>
          <w:sz w:val="24"/>
          <w:lang w:val="en-US" w:eastAsia="zh-CN"/>
        </w:rPr>
        <w:t>附图：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附图1 项目地理位置图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附图2 风电场平面布置图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附图3 升压站平面布置图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附图4-1~2 风机与敏感点位置示意图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附图5 升压站周边环境示意图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附图6 环境质量监测点位图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附图7 本工程与生态红线关系图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附图8 生态保护措施设计图</w:t>
      </w:r>
    </w:p>
    <w:p>
      <w:pPr>
        <w:adjustRightInd w:val="0"/>
        <w:snapToGrid w:val="0"/>
        <w:spacing w:line="360" w:lineRule="auto"/>
        <w:jc w:val="both"/>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附图9 典型生态保护措施设计图</w:t>
      </w:r>
    </w:p>
    <w:p>
      <w:pPr>
        <w:widowControl/>
        <w:jc w:val="left"/>
        <w:rPr>
          <w:rFonts w:hint="default" w:ascii="Times New Roman" w:hAnsi="Times New Roman" w:eastAsia="仿宋" w:cs="Times New Roman"/>
          <w:color w:val="auto"/>
          <w:sz w:val="36"/>
          <w:szCs w:val="36"/>
        </w:rPr>
      </w:pPr>
    </w:p>
    <w:p>
      <w:pPr>
        <w:widowControl/>
        <w:jc w:val="left"/>
        <w:rPr>
          <w:rFonts w:hint="default" w:ascii="Times New Roman" w:hAnsi="Times New Roman" w:eastAsia="仿宋" w:cs="Times New Roman"/>
          <w:color w:val="auto"/>
          <w:sz w:val="36"/>
          <w:szCs w:val="36"/>
        </w:rPr>
        <w:sectPr>
          <w:headerReference r:id="rId5" w:type="default"/>
          <w:type w:val="continuous"/>
          <w:pgSz w:w="11906" w:h="16838"/>
          <w:pgMar w:top="1701" w:right="1531" w:bottom="1701" w:left="1531" w:header="851" w:footer="1077" w:gutter="0"/>
          <w:pgNumType w:start="1"/>
          <w:cols w:space="720" w:num="1"/>
          <w:docGrid w:linePitch="312" w:charSpace="0"/>
        </w:sectPr>
      </w:pPr>
    </w:p>
    <w:p>
      <w:pPr>
        <w:pStyle w:val="17"/>
        <w:jc w:val="center"/>
        <w:outlineLvl w:val="0"/>
        <w:rPr>
          <w:rFonts w:hint="eastAsia" w:ascii="黑体" w:hAnsi="黑体" w:eastAsia="黑体" w:cs="黑体"/>
          <w:snapToGrid w:val="0"/>
          <w:color w:val="auto"/>
          <w:sz w:val="30"/>
          <w:szCs w:val="30"/>
        </w:rPr>
      </w:pPr>
      <w:bookmarkStart w:id="4" w:name="_Toc66980724"/>
      <w:r>
        <w:rPr>
          <w:rFonts w:hint="eastAsia" w:ascii="黑体" w:hAnsi="黑体" w:eastAsia="黑体" w:cs="黑体"/>
          <w:snapToGrid w:val="0"/>
          <w:color w:val="auto"/>
          <w:sz w:val="30"/>
          <w:szCs w:val="30"/>
        </w:rPr>
        <w:t>一、建设项目基本情况</w:t>
      </w:r>
      <w:bookmarkEnd w:id="4"/>
    </w:p>
    <w:tbl>
      <w:tblPr>
        <w:tblStyle w:val="21"/>
        <w:tblW w:w="9207" w:type="dxa"/>
        <w:tblInd w:w="-15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76"/>
        <w:gridCol w:w="2406"/>
        <w:gridCol w:w="2274"/>
        <w:gridCol w:w="10"/>
        <w:gridCol w:w="29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建设项目名称</w:t>
            </w:r>
          </w:p>
        </w:tc>
        <w:tc>
          <w:tcPr>
            <w:tcW w:w="7631" w:type="dxa"/>
            <w:gridSpan w:val="4"/>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巴中南江大河风电项目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项目代码</w:t>
            </w:r>
          </w:p>
        </w:tc>
        <w:tc>
          <w:tcPr>
            <w:tcW w:w="7631" w:type="dxa"/>
            <w:gridSpan w:val="4"/>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2406-510000-04-01-370613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建设单位联系人</w:t>
            </w:r>
          </w:p>
        </w:tc>
        <w:tc>
          <w:tcPr>
            <w:tcW w:w="2406" w:type="dxa"/>
            <w:vAlign w:val="center"/>
          </w:tcPr>
          <w:p>
            <w:pPr>
              <w:adjustRightInd w:val="0"/>
              <w:snapToGrid w:val="0"/>
              <w:jc w:val="center"/>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张科</w:t>
            </w:r>
          </w:p>
        </w:tc>
        <w:tc>
          <w:tcPr>
            <w:tcW w:w="2284" w:type="dxa"/>
            <w:gridSpan w:val="2"/>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联系方式</w:t>
            </w:r>
          </w:p>
        </w:tc>
        <w:tc>
          <w:tcPr>
            <w:tcW w:w="2941" w:type="dxa"/>
            <w:vAlign w:val="center"/>
          </w:tcPr>
          <w:p>
            <w:pPr>
              <w:adjustRightInd w:val="0"/>
              <w:snapToGrid w:val="0"/>
              <w:jc w:val="center"/>
              <w:rPr>
                <w:rFonts w:hint="default" w:ascii="Times New Roman" w:hAnsi="Times New Roman" w:eastAsia="仿宋" w:cs="Times New Roman"/>
                <w:color w:val="auto"/>
                <w:sz w:val="24"/>
                <w:lang w:val="en-US" w:eastAsia="zh-CN"/>
              </w:rPr>
            </w:pPr>
            <w:r>
              <w:rPr>
                <w:rFonts w:hint="eastAsia"/>
                <w:color w:val="auto"/>
                <w:spacing w:val="-3"/>
                <w:sz w:val="24"/>
                <w:szCs w:val="24"/>
              </w:rPr>
              <w:t>18111910219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建设地点</w:t>
            </w:r>
          </w:p>
        </w:tc>
        <w:tc>
          <w:tcPr>
            <w:tcW w:w="7631" w:type="dxa"/>
            <w:gridSpan w:val="4"/>
            <w:vAlign w:val="center"/>
          </w:tcPr>
          <w:p>
            <w:pPr>
              <w:adjustRightInd w:val="0"/>
              <w:snapToGrid w:val="0"/>
              <w:jc w:val="center"/>
              <w:rPr>
                <w:rFonts w:hint="default" w:ascii="Times New Roman" w:hAnsi="Times New Roman" w:eastAsia="仿宋" w:cs="Times New Roman"/>
                <w:color w:val="auto"/>
                <w:sz w:val="24"/>
              </w:rPr>
            </w:pPr>
            <w:r>
              <w:rPr>
                <w:rFonts w:hint="eastAsia" w:eastAsia="仿宋" w:cs="Times New Roman"/>
                <w:color w:val="auto"/>
                <w:sz w:val="24"/>
                <w:lang w:eastAsia="zh-CN"/>
              </w:rPr>
              <w:t>四川</w:t>
            </w:r>
            <w:r>
              <w:rPr>
                <w:rFonts w:hint="default" w:ascii="Times New Roman" w:hAnsi="Times New Roman" w:eastAsia="仿宋" w:cs="Times New Roman"/>
                <w:color w:val="auto"/>
                <w:sz w:val="24"/>
              </w:rPr>
              <w:t>省</w:t>
            </w:r>
            <w:r>
              <w:rPr>
                <w:rFonts w:hint="eastAsia" w:eastAsia="仿宋" w:cs="Times New Roman"/>
                <w:color w:val="auto"/>
                <w:sz w:val="24"/>
                <w:lang w:val="en-US" w:eastAsia="zh-CN"/>
              </w:rPr>
              <w:t>巴中市南江县大河镇、高桥镇</w:t>
            </w:r>
            <w:r>
              <w:rPr>
                <w:rFonts w:hint="default" w:ascii="Times New Roman" w:hAnsi="Times New Roman" w:eastAsia="仿宋" w:cs="Times New Roman"/>
                <w:color w:val="auto"/>
                <w:sz w:val="24"/>
              </w:rPr>
              <w:t>境内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地理坐标</w:t>
            </w:r>
          </w:p>
        </w:tc>
        <w:tc>
          <w:tcPr>
            <w:tcW w:w="7631" w:type="dxa"/>
            <w:gridSpan w:val="4"/>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介于东经107°00'58.21</w:t>
            </w:r>
            <w:r>
              <w:rPr>
                <w:rFonts w:hint="eastAsia" w:eastAsia="仿宋" w:cs="Times New Roman"/>
                <w:color w:val="auto"/>
                <w:sz w:val="24"/>
                <w:lang w:val="en-US" w:eastAsia="zh-CN"/>
              </w:rPr>
              <w:t>3</w:t>
            </w:r>
            <w:r>
              <w:rPr>
                <w:rFonts w:hint="default" w:ascii="Times New Roman" w:hAnsi="Times New Roman" w:eastAsia="仿宋" w:cs="Times New Roman"/>
                <w:color w:val="auto"/>
                <w:sz w:val="24"/>
              </w:rPr>
              <w:t>"~106°56'27.82</w:t>
            </w:r>
            <w:r>
              <w:rPr>
                <w:rFonts w:hint="eastAsia" w:eastAsia="仿宋" w:cs="Times New Roman"/>
                <w:color w:val="auto"/>
                <w:sz w:val="24"/>
                <w:lang w:val="en-US" w:eastAsia="zh-CN"/>
              </w:rPr>
              <w:t>1</w:t>
            </w:r>
            <w:r>
              <w:rPr>
                <w:rFonts w:hint="default" w:ascii="Times New Roman" w:hAnsi="Times New Roman" w:eastAsia="仿宋" w:cs="Times New Roman"/>
                <w:color w:val="auto"/>
                <w:sz w:val="24"/>
              </w:rPr>
              <w:t>"，北纬32°07'30.979"~,32°04'47.777"之间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建设项目</w:t>
            </w:r>
          </w:p>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行业类别</w:t>
            </w:r>
          </w:p>
        </w:tc>
        <w:tc>
          <w:tcPr>
            <w:tcW w:w="2406" w:type="dxa"/>
            <w:vAlign w:val="center"/>
          </w:tcPr>
          <w:p>
            <w:pPr>
              <w:adjustRightInd w:val="0"/>
              <w:snapToGrid w:val="0"/>
              <w:jc w:val="center"/>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四十一、电力生产和供应业 90.陆上风力发电4415</w:t>
            </w:r>
          </w:p>
        </w:tc>
        <w:tc>
          <w:tcPr>
            <w:tcW w:w="2274" w:type="dxa"/>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用地面积（m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w:t>
            </w:r>
          </w:p>
        </w:tc>
        <w:tc>
          <w:tcPr>
            <w:tcW w:w="2951" w:type="dxa"/>
            <w:gridSpan w:val="2"/>
            <w:vAlign w:val="center"/>
          </w:tcPr>
          <w:p>
            <w:pPr>
              <w:adjustRightInd w:val="0"/>
              <w:snapToGrid w:val="0"/>
              <w:jc w:val="center"/>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12.4254hm</w:t>
            </w:r>
            <w:r>
              <w:rPr>
                <w:rFonts w:hint="eastAsia" w:eastAsia="仿宋" w:cs="Times New Roman"/>
                <w:color w:val="auto"/>
                <w:sz w:val="24"/>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建设性质</w:t>
            </w:r>
          </w:p>
        </w:tc>
        <w:tc>
          <w:tcPr>
            <w:tcW w:w="2406" w:type="dxa"/>
            <w:vAlign w:val="center"/>
          </w:tcPr>
          <w:p>
            <w:pPr>
              <w:adjustRightInd w:val="0"/>
              <w:snapToGrid w:val="0"/>
              <w:jc w:val="left"/>
              <w:rPr>
                <w:rFonts w:hint="default" w:ascii="Times New Roman" w:hAnsi="Times New Roman" w:eastAsia="仿宋" w:cs="Times New Roman"/>
                <w:color w:val="auto"/>
                <w:sz w:val="24"/>
              </w:rPr>
            </w:pPr>
            <w:r>
              <w:rPr>
                <w:rFonts w:hint="eastAsia" w:eastAsia="仿宋" w:cs="Times New Roman"/>
                <w:color w:val="auto"/>
                <w:sz w:val="24"/>
                <w:lang w:eastAsia="zh-CN"/>
              </w:rPr>
              <w:t>☑</w:t>
            </w:r>
            <w:r>
              <w:rPr>
                <w:rFonts w:hint="default" w:ascii="Times New Roman" w:hAnsi="Times New Roman" w:eastAsia="仿宋" w:cs="Times New Roman"/>
                <w:color w:val="auto"/>
                <w:sz w:val="24"/>
              </w:rPr>
              <w:t>新建（迁建）</w:t>
            </w:r>
          </w:p>
          <w:p>
            <w:pPr>
              <w:adjustRightInd w:val="0"/>
              <w:snapToGrid w:val="0"/>
              <w:jc w:val="left"/>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改建</w:t>
            </w:r>
          </w:p>
          <w:p>
            <w:pPr>
              <w:adjustRightInd w:val="0"/>
              <w:snapToGrid w:val="0"/>
              <w:jc w:val="left"/>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扩建</w:t>
            </w:r>
          </w:p>
          <w:p>
            <w:pPr>
              <w:adjustRightInd w:val="0"/>
              <w:snapToGrid w:val="0"/>
              <w:jc w:val="left"/>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技术改造</w:t>
            </w:r>
          </w:p>
        </w:tc>
        <w:tc>
          <w:tcPr>
            <w:tcW w:w="2274" w:type="dxa"/>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建设项目</w:t>
            </w:r>
          </w:p>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申报情形</w:t>
            </w:r>
          </w:p>
        </w:tc>
        <w:tc>
          <w:tcPr>
            <w:tcW w:w="2951" w:type="dxa"/>
            <w:gridSpan w:val="2"/>
            <w:vAlign w:val="center"/>
          </w:tcPr>
          <w:p>
            <w:pPr>
              <w:adjustRightInd w:val="0"/>
              <w:snapToGrid w:val="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52"/>
            </w:r>
            <w:r>
              <w:rPr>
                <w:rFonts w:hint="default" w:ascii="Times New Roman" w:hAnsi="Times New Roman" w:eastAsia="仿宋" w:cs="Times New Roman"/>
                <w:color w:val="auto"/>
                <w:sz w:val="24"/>
              </w:rPr>
              <w:t>首次申报项目</w:t>
            </w:r>
          </w:p>
          <w:p>
            <w:pPr>
              <w:adjustRightInd w:val="0"/>
              <w:snapToGrid w:val="0"/>
              <w:jc w:val="left"/>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不予批准后再次申报项目</w:t>
            </w:r>
          </w:p>
          <w:p>
            <w:pPr>
              <w:adjustRightInd w:val="0"/>
              <w:snapToGrid w:val="0"/>
              <w:jc w:val="left"/>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超五年重新审核项目</w:t>
            </w:r>
          </w:p>
          <w:p>
            <w:pPr>
              <w:adjustRightInd w:val="0"/>
              <w:snapToGrid w:val="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2" w:char="00A3"/>
            </w:r>
            <w:r>
              <w:rPr>
                <w:rFonts w:hint="default" w:ascii="Times New Roman" w:hAnsi="Times New Roman" w:eastAsia="仿宋"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项目审批（核准/</w:t>
            </w:r>
          </w:p>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备案）部门（选填）</w:t>
            </w:r>
          </w:p>
        </w:tc>
        <w:tc>
          <w:tcPr>
            <w:tcW w:w="2406" w:type="dxa"/>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eastAsia="仿宋" w:cs="Times New Roman"/>
                <w:color w:val="auto"/>
                <w:sz w:val="24"/>
                <w:lang w:val="en-US" w:eastAsia="zh-CN"/>
              </w:rPr>
              <w:t>四川省</w:t>
            </w:r>
            <w:r>
              <w:rPr>
                <w:rFonts w:hint="default" w:ascii="Times New Roman" w:hAnsi="Times New Roman" w:eastAsia="仿宋" w:cs="Times New Roman"/>
                <w:color w:val="auto"/>
                <w:sz w:val="24"/>
              </w:rPr>
              <w:t>发展和改革</w:t>
            </w:r>
            <w:r>
              <w:rPr>
                <w:rFonts w:hint="eastAsia" w:eastAsia="仿宋" w:cs="Times New Roman"/>
                <w:color w:val="auto"/>
                <w:sz w:val="24"/>
                <w:lang w:val="en-US" w:eastAsia="zh-CN"/>
              </w:rPr>
              <w:t>委员会</w:t>
            </w:r>
          </w:p>
        </w:tc>
        <w:tc>
          <w:tcPr>
            <w:tcW w:w="2274" w:type="dxa"/>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项目审批（核准/</w:t>
            </w:r>
          </w:p>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备案）文号（选填）</w:t>
            </w:r>
          </w:p>
        </w:tc>
        <w:tc>
          <w:tcPr>
            <w:tcW w:w="2951" w:type="dxa"/>
            <w:gridSpan w:val="2"/>
            <w:vAlign w:val="center"/>
          </w:tcPr>
          <w:p>
            <w:pPr>
              <w:adjustRightInd w:val="0"/>
              <w:snapToGrid w:val="0"/>
              <w:jc w:val="center"/>
              <w:rPr>
                <w:rFonts w:hint="default" w:ascii="Times New Roman" w:hAnsi="Times New Roman" w:eastAsia="仿宋" w:cs="Times New Roman"/>
                <w:color w:val="auto"/>
                <w:sz w:val="24"/>
              </w:rPr>
            </w:pPr>
            <w:r>
              <w:rPr>
                <w:rFonts w:hint="eastAsia" w:eastAsia="仿宋" w:cs="Times New Roman"/>
                <w:color w:val="auto"/>
                <w:sz w:val="24"/>
                <w:lang w:val="en-US" w:eastAsia="zh-CN"/>
              </w:rPr>
              <w:t>川</w:t>
            </w:r>
            <w:r>
              <w:rPr>
                <w:rFonts w:hint="default" w:ascii="Times New Roman" w:hAnsi="Times New Roman" w:eastAsia="仿宋" w:cs="Times New Roman"/>
                <w:color w:val="auto"/>
                <w:sz w:val="24"/>
              </w:rPr>
              <w:t>发改能源[202</w:t>
            </w:r>
            <w:r>
              <w:rPr>
                <w:rFonts w:hint="eastAsia" w:eastAsia="仿宋" w:cs="Times New Roman"/>
                <w:color w:val="auto"/>
                <w:sz w:val="24"/>
                <w:lang w:val="en-US" w:eastAsia="zh-CN"/>
              </w:rPr>
              <w:t>4</w:t>
            </w:r>
            <w:r>
              <w:rPr>
                <w:rFonts w:hint="default" w:ascii="Times New Roman" w:hAnsi="Times New Roman" w:eastAsia="仿宋" w:cs="Times New Roman"/>
                <w:color w:val="auto"/>
                <w:sz w:val="24"/>
              </w:rPr>
              <w:t>]</w:t>
            </w:r>
            <w:r>
              <w:rPr>
                <w:rFonts w:hint="eastAsia" w:eastAsia="仿宋" w:cs="Times New Roman"/>
                <w:color w:val="auto"/>
                <w:sz w:val="24"/>
                <w:lang w:val="en-US" w:eastAsia="zh-CN"/>
              </w:rPr>
              <w:t>593</w:t>
            </w:r>
            <w:r>
              <w:rPr>
                <w:rFonts w:hint="default" w:ascii="Times New Roman" w:hAnsi="Times New Roman" w:eastAsia="仿宋" w:cs="Times New Roman"/>
                <w:color w:val="auto"/>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总投资（万元）</w:t>
            </w:r>
          </w:p>
        </w:tc>
        <w:tc>
          <w:tcPr>
            <w:tcW w:w="2406" w:type="dxa"/>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eastAsia="仿宋"/>
                <w:color w:val="auto"/>
                <w:spacing w:val="-9"/>
                <w:sz w:val="24"/>
                <w:szCs w:val="24"/>
                <w:lang w:eastAsia="zh-CN"/>
              </w:rPr>
              <w:t>23413</w:t>
            </w:r>
          </w:p>
        </w:tc>
        <w:tc>
          <w:tcPr>
            <w:tcW w:w="2274"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环保投资（万元）</w:t>
            </w:r>
          </w:p>
        </w:tc>
        <w:tc>
          <w:tcPr>
            <w:tcW w:w="2951" w:type="dxa"/>
            <w:gridSpan w:val="2"/>
            <w:vAlign w:val="center"/>
          </w:tcPr>
          <w:p>
            <w:pPr>
              <w:adjustRightInd w:val="0"/>
              <w:snapToGrid w:val="0"/>
              <w:jc w:val="center"/>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851.26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环保投资占比（%）</w:t>
            </w:r>
          </w:p>
        </w:tc>
        <w:tc>
          <w:tcPr>
            <w:tcW w:w="2406" w:type="dxa"/>
            <w:vAlign w:val="center"/>
          </w:tcPr>
          <w:p>
            <w:pPr>
              <w:adjustRightInd w:val="0"/>
              <w:snapToGrid w:val="0"/>
              <w:jc w:val="center"/>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3.64</w:t>
            </w:r>
          </w:p>
        </w:tc>
        <w:tc>
          <w:tcPr>
            <w:tcW w:w="2274"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施工工期</w:t>
            </w:r>
          </w:p>
        </w:tc>
        <w:tc>
          <w:tcPr>
            <w:tcW w:w="2951" w:type="dxa"/>
            <w:gridSpan w:val="2"/>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76" w:type="dxa"/>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是否开工建设</w:t>
            </w:r>
          </w:p>
        </w:tc>
        <w:tc>
          <w:tcPr>
            <w:tcW w:w="7631" w:type="dxa"/>
            <w:gridSpan w:val="4"/>
            <w:vAlign w:val="center"/>
          </w:tcPr>
          <w:p>
            <w:pPr>
              <w:adjustRightInd w:val="0"/>
              <w:snapToGrid w:val="0"/>
              <w:ind w:firstLine="105"/>
              <w:jc w:val="left"/>
              <w:rPr>
                <w:rFonts w:hint="default" w:ascii="Times New Roman" w:hAnsi="Times New Roman" w:eastAsia="仿宋" w:cs="Times New Roman"/>
                <w:color w:val="auto"/>
                <w:sz w:val="24"/>
              </w:rPr>
            </w:pPr>
            <w:r>
              <w:rPr>
                <w:rFonts w:hint="eastAsia" w:eastAsia="仿宋" w:cs="Times New Roman"/>
                <w:color w:val="auto"/>
                <w:sz w:val="24"/>
                <w:lang w:eastAsia="zh-CN"/>
              </w:rPr>
              <w:t>☑</w:t>
            </w:r>
            <w:r>
              <w:rPr>
                <w:rFonts w:hint="default" w:ascii="Times New Roman" w:hAnsi="Times New Roman" w:eastAsia="仿宋" w:cs="Times New Roman"/>
                <w:color w:val="auto"/>
                <w:sz w:val="24"/>
              </w:rPr>
              <w:t>否</w:t>
            </w:r>
          </w:p>
          <w:p>
            <w:pPr>
              <w:adjustRightInd w:val="0"/>
              <w:snapToGrid w:val="0"/>
              <w:ind w:firstLine="92"/>
              <w:jc w:val="left"/>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是：</w:t>
            </w:r>
            <w:r>
              <w:rPr>
                <w:rFonts w:hint="default" w:ascii="Times New Roman" w:hAnsi="Times New Roman" w:eastAsia="仿宋" w:cs="Times New Roman"/>
                <w:color w:val="auto"/>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73" w:hRule="atLeast"/>
        </w:trPr>
        <w:tc>
          <w:tcPr>
            <w:tcW w:w="157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专项评价设置情况</w:t>
            </w:r>
          </w:p>
        </w:tc>
        <w:tc>
          <w:tcPr>
            <w:tcW w:w="7631" w:type="dxa"/>
            <w:gridSpan w:val="4"/>
            <w:tcMar>
              <w:top w:w="16" w:type="dxa"/>
              <w:left w:w="16" w:type="dxa"/>
              <w:right w:w="16" w:type="dxa"/>
            </w:tcMar>
            <w:vAlign w:val="center"/>
          </w:tcPr>
          <w:p>
            <w:pPr>
              <w:autoSpaceDE w:val="0"/>
              <w:autoSpaceDN w:val="0"/>
              <w:adjustRightInd w:val="0"/>
              <w:snapToGrid w:val="0"/>
              <w:ind w:firstLine="240" w:firstLineChars="100"/>
              <w:jc w:val="both"/>
              <w:rPr>
                <w:rFonts w:hint="eastAsia" w:eastAsia="仿宋" w:cs="Times New Roman"/>
                <w:color w:val="auto"/>
                <w:kern w:val="0"/>
                <w:sz w:val="24"/>
                <w:lang w:val="en-US" w:eastAsia="zh-CN"/>
              </w:rPr>
            </w:pPr>
            <w:r>
              <w:rPr>
                <w:rFonts w:hint="eastAsia" w:eastAsia="仿宋" w:cs="Times New Roman"/>
                <w:color w:val="auto"/>
                <w:kern w:val="0"/>
                <w:sz w:val="24"/>
                <w:lang w:val="en-US" w:eastAsia="zh-CN"/>
              </w:rPr>
              <w:t>根据《建设项目环境影响报告表编制技术指南（生态影响类）（试行）》，本项目地表水、地下水、生态、大气、噪声和环境风险专项评价具体设置情况见下表：</w:t>
            </w:r>
          </w:p>
          <w:p>
            <w:pPr>
              <w:autoSpaceDE w:val="0"/>
              <w:autoSpaceDN w:val="0"/>
              <w:adjustRightInd w:val="0"/>
              <w:snapToGrid w:val="0"/>
              <w:ind w:firstLine="211" w:firstLineChars="100"/>
              <w:jc w:val="center"/>
              <w:rPr>
                <w:rFonts w:hint="eastAsia" w:eastAsia="仿宋" w:cs="Times New Roman"/>
                <w:b/>
                <w:bCs/>
                <w:color w:val="auto"/>
                <w:kern w:val="0"/>
                <w:sz w:val="21"/>
                <w:szCs w:val="21"/>
                <w:lang w:val="en-US" w:eastAsia="zh-CN"/>
              </w:rPr>
            </w:pPr>
            <w:r>
              <w:rPr>
                <w:rFonts w:hint="eastAsia" w:eastAsia="仿宋" w:cs="Times New Roman"/>
                <w:b/>
                <w:bCs/>
                <w:color w:val="auto"/>
                <w:kern w:val="0"/>
                <w:sz w:val="21"/>
                <w:szCs w:val="21"/>
                <w:lang w:val="en-US" w:eastAsia="zh-CN"/>
              </w:rPr>
              <w:t>表1-1本项目专项评价设置一览表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74"/>
              <w:gridCol w:w="1668"/>
              <w:gridCol w:w="1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autoSpaceDE w:val="0"/>
                    <w:autoSpaceDN w:val="0"/>
                    <w:adjustRightInd w:val="0"/>
                    <w:snapToGrid w:val="0"/>
                    <w:jc w:val="center"/>
                    <w:rPr>
                      <w:rFonts w:hint="default" w:eastAsia="仿宋" w:cs="Times New Roman"/>
                      <w:b/>
                      <w:bCs/>
                      <w:color w:val="auto"/>
                      <w:kern w:val="0"/>
                      <w:sz w:val="21"/>
                      <w:szCs w:val="21"/>
                      <w:vertAlign w:val="baseline"/>
                      <w:lang w:val="en-US" w:eastAsia="zh-CN"/>
                    </w:rPr>
                  </w:pPr>
                  <w:r>
                    <w:rPr>
                      <w:rFonts w:hint="eastAsia" w:eastAsia="仿宋" w:cs="Times New Roman"/>
                      <w:b/>
                      <w:bCs/>
                      <w:color w:val="auto"/>
                      <w:kern w:val="0"/>
                      <w:sz w:val="21"/>
                      <w:szCs w:val="21"/>
                      <w:vertAlign w:val="baseline"/>
                      <w:lang w:val="en-US" w:eastAsia="zh-CN"/>
                    </w:rPr>
                    <w:t>专项评价的类别</w:t>
                  </w:r>
                </w:p>
              </w:tc>
              <w:tc>
                <w:tcPr>
                  <w:tcW w:w="2674" w:type="dxa"/>
                  <w:vAlign w:val="center"/>
                </w:tcPr>
                <w:p>
                  <w:pPr>
                    <w:autoSpaceDE w:val="0"/>
                    <w:autoSpaceDN w:val="0"/>
                    <w:adjustRightInd w:val="0"/>
                    <w:snapToGrid w:val="0"/>
                    <w:jc w:val="center"/>
                    <w:rPr>
                      <w:rFonts w:hint="default" w:eastAsia="仿宋" w:cs="Times New Roman"/>
                      <w:b/>
                      <w:bCs/>
                      <w:color w:val="auto"/>
                      <w:kern w:val="0"/>
                      <w:sz w:val="21"/>
                      <w:szCs w:val="21"/>
                      <w:vertAlign w:val="baseline"/>
                      <w:lang w:val="en-US" w:eastAsia="zh-CN"/>
                    </w:rPr>
                  </w:pPr>
                  <w:r>
                    <w:rPr>
                      <w:rFonts w:hint="eastAsia" w:eastAsia="仿宋" w:cs="Times New Roman"/>
                      <w:b/>
                      <w:bCs/>
                      <w:color w:val="auto"/>
                      <w:kern w:val="0"/>
                      <w:sz w:val="21"/>
                      <w:szCs w:val="21"/>
                      <w:vertAlign w:val="baseline"/>
                      <w:lang w:val="en-US" w:eastAsia="zh-CN"/>
                    </w:rPr>
                    <w:t>涉及项目类别</w:t>
                  </w:r>
                </w:p>
              </w:tc>
              <w:tc>
                <w:tcPr>
                  <w:tcW w:w="1668" w:type="dxa"/>
                  <w:vAlign w:val="center"/>
                </w:tcPr>
                <w:p>
                  <w:pPr>
                    <w:autoSpaceDE w:val="0"/>
                    <w:autoSpaceDN w:val="0"/>
                    <w:adjustRightInd w:val="0"/>
                    <w:snapToGrid w:val="0"/>
                    <w:jc w:val="center"/>
                    <w:rPr>
                      <w:rFonts w:hint="default" w:eastAsia="仿宋" w:cs="Times New Roman"/>
                      <w:b/>
                      <w:bCs/>
                      <w:color w:val="auto"/>
                      <w:kern w:val="0"/>
                      <w:sz w:val="21"/>
                      <w:szCs w:val="21"/>
                      <w:vertAlign w:val="baseline"/>
                      <w:lang w:val="en-US" w:eastAsia="zh-CN"/>
                    </w:rPr>
                  </w:pPr>
                  <w:r>
                    <w:rPr>
                      <w:rFonts w:hint="eastAsia" w:eastAsia="仿宋" w:cs="Times New Roman"/>
                      <w:b/>
                      <w:bCs/>
                      <w:color w:val="auto"/>
                      <w:kern w:val="0"/>
                      <w:sz w:val="21"/>
                      <w:szCs w:val="21"/>
                      <w:vertAlign w:val="baseline"/>
                      <w:lang w:val="en-US" w:eastAsia="zh-CN"/>
                    </w:rPr>
                    <w:t>本项目</w:t>
                  </w:r>
                </w:p>
              </w:tc>
              <w:tc>
                <w:tcPr>
                  <w:tcW w:w="1874" w:type="dxa"/>
                  <w:vAlign w:val="center"/>
                </w:tcPr>
                <w:p>
                  <w:pPr>
                    <w:autoSpaceDE w:val="0"/>
                    <w:autoSpaceDN w:val="0"/>
                    <w:adjustRightInd w:val="0"/>
                    <w:snapToGrid w:val="0"/>
                    <w:jc w:val="center"/>
                    <w:rPr>
                      <w:rFonts w:hint="default" w:eastAsia="仿宋" w:cs="Times New Roman"/>
                      <w:b/>
                      <w:bCs/>
                      <w:color w:val="auto"/>
                      <w:kern w:val="0"/>
                      <w:sz w:val="21"/>
                      <w:szCs w:val="21"/>
                      <w:vertAlign w:val="baseline"/>
                      <w:lang w:val="en-US" w:eastAsia="zh-CN"/>
                    </w:rPr>
                  </w:pPr>
                  <w:r>
                    <w:rPr>
                      <w:rFonts w:hint="eastAsia" w:eastAsia="仿宋" w:cs="Times New Roman"/>
                      <w:b/>
                      <w:bCs/>
                      <w:color w:val="auto"/>
                      <w:kern w:val="0"/>
                      <w:sz w:val="21"/>
                      <w:szCs w:val="21"/>
                      <w:vertAlign w:val="baseline"/>
                      <w:lang w:val="en-US" w:eastAsia="zh-CN"/>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地表水</w:t>
                  </w:r>
                </w:p>
              </w:tc>
              <w:tc>
                <w:tcPr>
                  <w:tcW w:w="2674" w:type="dxa"/>
                  <w:vAlign w:val="center"/>
                </w:tcPr>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水力发电:引水式发电、涉及调峰发电的项目</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人工湖、人工湿地:全部</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水库:全部</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引水工程:全部(配套的管线工程等除外)</w:t>
                  </w:r>
                  <w:r>
                    <w:rPr>
                      <w:rFonts w:hint="eastAsia" w:eastAsia="仿宋" w:cs="Times New Roman"/>
                      <w:color w:val="auto"/>
                      <w:kern w:val="0"/>
                      <w:sz w:val="21"/>
                      <w:szCs w:val="21"/>
                      <w:vertAlign w:val="baseline"/>
                      <w:lang w:val="en-US" w:eastAsia="zh-CN"/>
                    </w:rPr>
                    <w:t>；</w:t>
                  </w:r>
                  <w:r>
                    <w:rPr>
                      <w:rFonts w:hint="default" w:eastAsia="仿宋" w:cs="Times New Roman"/>
                      <w:color w:val="auto"/>
                      <w:kern w:val="0"/>
                      <w:sz w:val="21"/>
                      <w:szCs w:val="21"/>
                      <w:vertAlign w:val="baseline"/>
                      <w:lang w:val="en-US" w:eastAsia="zh-CN"/>
                    </w:rPr>
                    <w:t>防洪除涝工程:包含水库的项目</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河湖整治:涉及清淤且底泥存在重金属污染的项目</w:t>
                  </w:r>
                </w:p>
              </w:tc>
              <w:tc>
                <w:tcPr>
                  <w:tcW w:w="1668"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本项目为风力发电项目</w:t>
                  </w:r>
                </w:p>
              </w:tc>
              <w:tc>
                <w:tcPr>
                  <w:tcW w:w="1874"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地下水</w:t>
                  </w:r>
                </w:p>
              </w:tc>
              <w:tc>
                <w:tcPr>
                  <w:tcW w:w="2674" w:type="dxa"/>
                  <w:vAlign w:val="center"/>
                </w:tcPr>
                <w:p>
                  <w:pPr>
                    <w:autoSpaceDE w:val="0"/>
                    <w:autoSpaceDN w:val="0"/>
                    <w:adjustRightInd w:val="0"/>
                    <w:snapToGrid w:val="0"/>
                    <w:jc w:val="both"/>
                    <w:rPr>
                      <w:rFonts w:hint="eastAsia"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陆地石油和天然气开采:全部</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地下水(含矿泉水)开采:全部</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水利、水电、交通等:含穿越可溶岩地层隧道的项目</w:t>
                  </w:r>
                </w:p>
              </w:tc>
              <w:tc>
                <w:tcPr>
                  <w:tcW w:w="1668"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本项目为风力发电项目</w:t>
                  </w:r>
                </w:p>
              </w:tc>
              <w:tc>
                <w:tcPr>
                  <w:tcW w:w="1874"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生态</w:t>
                  </w:r>
                </w:p>
              </w:tc>
              <w:tc>
                <w:tcPr>
                  <w:tcW w:w="2674" w:type="dxa"/>
                  <w:vAlign w:val="center"/>
                </w:tcPr>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涉及环境敏感区(不包括饮用水水源保护区，以居住、医疗卫生、文化教育、科研、行政办公为主要功能的区域，以及文物保护单位)的项目</w:t>
                  </w:r>
                </w:p>
              </w:tc>
              <w:tc>
                <w:tcPr>
                  <w:tcW w:w="1668" w:type="dxa"/>
                  <w:vAlign w:val="center"/>
                </w:tcPr>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本项目不涉及《建设项目环境影响评价分类管理名录》中第三条（一）国家公园、自然保护区、风景名胜区、世界文化和自然遗产地、海洋特别保护区</w:t>
                  </w:r>
                </w:p>
              </w:tc>
              <w:tc>
                <w:tcPr>
                  <w:tcW w:w="1874"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大气</w:t>
                  </w:r>
                </w:p>
              </w:tc>
              <w:tc>
                <w:tcPr>
                  <w:tcW w:w="2674" w:type="dxa"/>
                  <w:vAlign w:val="center"/>
                </w:tcPr>
                <w:p>
                  <w:pPr>
                    <w:autoSpaceDE w:val="0"/>
                    <w:autoSpaceDN w:val="0"/>
                    <w:adjustRightInd w:val="0"/>
                    <w:snapToGrid w:val="0"/>
                    <w:jc w:val="both"/>
                    <w:rPr>
                      <w:rFonts w:hint="eastAsia"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油气、液体化工码头:全部</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干散货(含煤炭、矿石)、件杂、多用途、通用码头:涉及粉尘、挥发性有机物排放的项目</w:t>
                  </w:r>
                </w:p>
              </w:tc>
              <w:tc>
                <w:tcPr>
                  <w:tcW w:w="1668"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本项目为风力发电项目</w:t>
                  </w:r>
                </w:p>
              </w:tc>
              <w:tc>
                <w:tcPr>
                  <w:tcW w:w="1874"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噪声</w:t>
                  </w:r>
                </w:p>
              </w:tc>
              <w:tc>
                <w:tcPr>
                  <w:tcW w:w="2674" w:type="dxa"/>
                  <w:vAlign w:val="center"/>
                </w:tcPr>
                <w:p>
                  <w:pPr>
                    <w:autoSpaceDE w:val="0"/>
                    <w:autoSpaceDN w:val="0"/>
                    <w:adjustRightInd w:val="0"/>
                    <w:snapToGrid w:val="0"/>
                    <w:jc w:val="both"/>
                    <w:rPr>
                      <w:rFonts w:hint="eastAsia"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公路、铁路、机场等交通运输业涉及环境敏感区(以居住、医疗卫生、文化教育、科研、行政办公为主要功能的区域)的项目</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城市道路(不含维护，不含支路、人行天桥、人行地道):全部</w:t>
                  </w:r>
                </w:p>
              </w:tc>
              <w:tc>
                <w:tcPr>
                  <w:tcW w:w="1668"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本项目为风力发电项目</w:t>
                  </w:r>
                </w:p>
              </w:tc>
              <w:tc>
                <w:tcPr>
                  <w:tcW w:w="1874"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环境风险</w:t>
                  </w:r>
                </w:p>
              </w:tc>
              <w:tc>
                <w:tcPr>
                  <w:tcW w:w="2674" w:type="dxa"/>
                  <w:vAlign w:val="center"/>
                </w:tcPr>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石油和天然气开采:全部</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油气、液体化工码头:全部</w:t>
                  </w:r>
                  <w:r>
                    <w:rPr>
                      <w:rFonts w:hint="eastAsia" w:eastAsia="仿宋" w:cs="Times New Roman"/>
                      <w:color w:val="auto"/>
                      <w:kern w:val="0"/>
                      <w:sz w:val="21"/>
                      <w:szCs w:val="21"/>
                      <w:vertAlign w:val="baseline"/>
                      <w:lang w:val="en-US" w:eastAsia="zh-CN"/>
                    </w:rPr>
                    <w:t>；</w:t>
                  </w:r>
                </w:p>
                <w:p>
                  <w:pPr>
                    <w:autoSpaceDE w:val="0"/>
                    <w:autoSpaceDN w:val="0"/>
                    <w:adjustRightInd w:val="0"/>
                    <w:snapToGrid w:val="0"/>
                    <w:jc w:val="both"/>
                    <w:rPr>
                      <w:rFonts w:hint="default" w:eastAsia="仿宋" w:cs="Times New Roman"/>
                      <w:color w:val="auto"/>
                      <w:kern w:val="0"/>
                      <w:sz w:val="21"/>
                      <w:szCs w:val="21"/>
                      <w:vertAlign w:val="baseline"/>
                      <w:lang w:val="en-US" w:eastAsia="zh-CN"/>
                    </w:rPr>
                  </w:pPr>
                  <w:r>
                    <w:rPr>
                      <w:rFonts w:hint="default" w:eastAsia="仿宋" w:cs="Times New Roman"/>
                      <w:color w:val="auto"/>
                      <w:kern w:val="0"/>
                      <w:sz w:val="21"/>
                      <w:szCs w:val="21"/>
                      <w:vertAlign w:val="baseline"/>
                      <w:lang w:val="en-US" w:eastAsia="zh-CN"/>
                    </w:rPr>
                    <w:t>原油、成品油、天然气管线(不含城镇天然气管线、企业厂区内管线)，危险化学品输送管线(不含企业厂区内管线):全部</w:t>
                  </w:r>
                </w:p>
              </w:tc>
              <w:tc>
                <w:tcPr>
                  <w:tcW w:w="1668"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本项目为风力发电项目</w:t>
                  </w:r>
                </w:p>
              </w:tc>
              <w:tc>
                <w:tcPr>
                  <w:tcW w:w="1874" w:type="dxa"/>
                  <w:vAlign w:val="center"/>
                </w:tcPr>
                <w:p>
                  <w:pPr>
                    <w:autoSpaceDE w:val="0"/>
                    <w:autoSpaceDN w:val="0"/>
                    <w:adjustRightInd w:val="0"/>
                    <w:snapToGrid w:val="0"/>
                    <w:jc w:val="center"/>
                    <w:rPr>
                      <w:rFonts w:hint="default" w:eastAsia="仿宋" w:cs="Times New Roman"/>
                      <w:color w:val="auto"/>
                      <w:kern w:val="0"/>
                      <w:sz w:val="21"/>
                      <w:szCs w:val="21"/>
                      <w:vertAlign w:val="baseline"/>
                      <w:lang w:val="en-US" w:eastAsia="zh-CN"/>
                    </w:rPr>
                  </w:pPr>
                  <w:r>
                    <w:rPr>
                      <w:rFonts w:hint="eastAsia" w:eastAsia="仿宋" w:cs="Times New Roman"/>
                      <w:color w:val="auto"/>
                      <w:kern w:val="0"/>
                      <w:sz w:val="21"/>
                      <w:szCs w:val="21"/>
                      <w:vertAlign w:val="baseline"/>
                      <w:lang w:val="en-US" w:eastAsia="zh-CN"/>
                    </w:rPr>
                    <w:t>否</w:t>
                  </w:r>
                </w:p>
              </w:tc>
            </w:tr>
          </w:tbl>
          <w:p>
            <w:pPr>
              <w:autoSpaceDE w:val="0"/>
              <w:autoSpaceDN w:val="0"/>
              <w:adjustRightInd w:val="0"/>
              <w:snapToGrid w:val="0"/>
              <w:jc w:val="both"/>
              <w:rPr>
                <w:rFonts w:hint="default" w:eastAsia="仿宋" w:cs="Times New Roman"/>
                <w:b w:val="0"/>
                <w:bCs w:val="0"/>
                <w:color w:val="auto"/>
                <w:kern w:val="0"/>
                <w:sz w:val="21"/>
                <w:szCs w:val="21"/>
                <w:lang w:val="en-US" w:eastAsia="zh-CN"/>
              </w:rPr>
            </w:pPr>
            <w:r>
              <w:rPr>
                <w:rFonts w:hint="default" w:eastAsia="仿宋" w:cs="Times New Roman"/>
                <w:b w:val="0"/>
                <w:bCs w:val="0"/>
                <w:color w:val="auto"/>
                <w:kern w:val="0"/>
                <w:sz w:val="21"/>
                <w:szCs w:val="21"/>
                <w:lang w:val="en-US" w:eastAsia="zh-CN"/>
              </w:rPr>
              <w:t>注:“涉及环境敏感区”是指建设项目位于、穿(跨)越(无害化通过的除外)环境敏感区，或环境影响范围涵盖环境敏感区。环境敏感区是指《建设项目环境影响评价分类管理名录》中针对该类项目所列的敏感区。</w:t>
            </w:r>
          </w:p>
          <w:p>
            <w:pPr>
              <w:autoSpaceDE w:val="0"/>
              <w:autoSpaceDN w:val="0"/>
              <w:adjustRightInd w:val="0"/>
              <w:snapToGrid w:val="0"/>
              <w:jc w:val="both"/>
              <w:rPr>
                <w:rFonts w:hint="default" w:eastAsia="仿宋" w:cs="Times New Roman"/>
                <w:color w:val="auto"/>
                <w:kern w:val="0"/>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5" w:hRule="atLeast"/>
        </w:trPr>
        <w:tc>
          <w:tcPr>
            <w:tcW w:w="157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规划情况</w:t>
            </w:r>
          </w:p>
        </w:tc>
        <w:tc>
          <w:tcPr>
            <w:tcW w:w="7631" w:type="dxa"/>
            <w:gridSpan w:val="4"/>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57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规划环境影响</w:t>
            </w:r>
          </w:p>
          <w:p>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评价情况</w:t>
            </w:r>
          </w:p>
        </w:tc>
        <w:tc>
          <w:tcPr>
            <w:tcW w:w="7631" w:type="dxa"/>
            <w:gridSpan w:val="4"/>
            <w:tcMar>
              <w:top w:w="16" w:type="dxa"/>
              <w:left w:w="16" w:type="dxa"/>
              <w:right w:w="16" w:type="dxa"/>
            </w:tcMar>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4" w:hRule="atLeast"/>
        </w:trPr>
        <w:tc>
          <w:tcPr>
            <w:tcW w:w="157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规划及</w:t>
            </w:r>
            <w:r>
              <w:rPr>
                <w:rFonts w:hint="default" w:ascii="Times New Roman" w:hAnsi="Times New Roman" w:eastAsia="仿宋" w:cs="Times New Roman"/>
                <w:color w:val="auto"/>
                <w:sz w:val="24"/>
              </w:rPr>
              <w:t>规划环境影响评价</w:t>
            </w:r>
            <w:r>
              <w:rPr>
                <w:rFonts w:hint="default" w:ascii="Times New Roman" w:hAnsi="Times New Roman" w:eastAsia="仿宋" w:cs="Times New Roman"/>
                <w:color w:val="auto"/>
                <w:kern w:val="0"/>
                <w:sz w:val="24"/>
              </w:rPr>
              <w:t>符合性分析</w:t>
            </w:r>
          </w:p>
        </w:tc>
        <w:tc>
          <w:tcPr>
            <w:tcW w:w="7631" w:type="dxa"/>
            <w:gridSpan w:val="4"/>
            <w:tcMar>
              <w:top w:w="16" w:type="dxa"/>
              <w:left w:w="16" w:type="dxa"/>
              <w:right w:w="16" w:type="dxa"/>
            </w:tcMar>
            <w:vAlign w:val="center"/>
          </w:tcPr>
          <w:p>
            <w:pPr>
              <w:autoSpaceDE w:val="0"/>
              <w:autoSpaceDN w:val="0"/>
              <w:adjustRightInd w:val="0"/>
              <w:snapToGrid w:val="0"/>
              <w:spacing w:line="360" w:lineRule="auto"/>
              <w:jc w:val="center"/>
              <w:rPr>
                <w:rFonts w:hint="eastAsia" w:eastAsia="仿宋" w:cs="Times New Roman"/>
                <w:b/>
                <w:bCs/>
                <w:color w:val="auto"/>
                <w:kern w:val="0"/>
                <w:sz w:val="24"/>
                <w:lang w:val="en-US" w:eastAsia="zh-CN"/>
              </w:rPr>
            </w:pPr>
            <w:r>
              <w:rPr>
                <w:rFonts w:hint="eastAsia" w:eastAsia="仿宋" w:cs="Times New Roman"/>
                <w:b/>
                <w:bCs/>
                <w:color w:val="auto"/>
                <w:kern w:val="0"/>
                <w:sz w:val="24"/>
                <w:lang w:val="en-US" w:eastAsia="zh-CN"/>
              </w:rPr>
              <w:t>一、与《南江县国土空间总体规划（2021—2035年）》符合性分析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eastAsia="仿宋" w:cs="Times New Roman"/>
                <w:color w:val="auto"/>
                <w:kern w:val="0"/>
                <w:sz w:val="24"/>
                <w:lang w:val="en-US" w:eastAsia="zh-CN"/>
              </w:rPr>
            </w:pPr>
            <w:r>
              <w:rPr>
                <w:rFonts w:hint="eastAsia" w:eastAsia="仿宋" w:cs="Times New Roman"/>
                <w:color w:val="auto"/>
                <w:kern w:val="0"/>
                <w:sz w:val="24"/>
                <w:lang w:val="en-US" w:eastAsia="zh-CN"/>
              </w:rPr>
              <w:t>《南江县国土空间总体规划（2021—2035年）》指出到2025年，全县“三区三线”和主体功能区格局全面巩固，粮食安全得到保障，农业产业格局不断优化，各级生态功能区保护和修复体系建立，产城融合度显著提升，充满活力的城乡发展格局基本奠定。土地节约集约利用水平显著提高，能源消费总量得到合理控制，基本公共服务水平明显提高，基础设施体系不断完善，人居环境质量显著改善。到2035年，高质量发展的国土空间开发保护格局全面形成，国土空间治理体系和治理能力现代化水平全面提升，国土空间安全保障能力全面增强。粮食安全不断稳固，秦巴生物多样性生态屏障更加巩固，高效集约的自然资源利用体系基本建成，碳排放总量达峰后稳中有降。城乡融合和区域协调发展取得成效，基本建成“两地三县一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仿宋" w:cs="Times New Roman"/>
                <w:color w:val="auto"/>
                <w:kern w:val="0"/>
                <w:sz w:val="24"/>
                <w:lang w:eastAsia="zh-CN"/>
              </w:rPr>
            </w:pPr>
            <w:r>
              <w:rPr>
                <w:rFonts w:hint="eastAsia" w:eastAsia="仿宋" w:cs="Times New Roman"/>
                <w:color w:val="auto"/>
                <w:kern w:val="0"/>
                <w:sz w:val="24"/>
                <w:lang w:val="en-US" w:eastAsia="zh-CN"/>
              </w:rPr>
              <w:t>本项目位于南江县大河镇、高桥镇，根据本项目《建设项目用地预审与选址意见书》，本项目拟用地面积为0.6554hm</w:t>
            </w:r>
            <w:r>
              <w:rPr>
                <w:rFonts w:hint="eastAsia" w:eastAsia="仿宋" w:cs="Times New Roman"/>
                <w:color w:val="auto"/>
                <w:kern w:val="0"/>
                <w:sz w:val="24"/>
                <w:vertAlign w:val="superscript"/>
                <w:lang w:val="en-US" w:eastAsia="zh-CN"/>
              </w:rPr>
              <w:t>2</w:t>
            </w:r>
            <w:r>
              <w:rPr>
                <w:rFonts w:hint="eastAsia" w:eastAsia="仿宋" w:cs="Times New Roman"/>
                <w:color w:val="auto"/>
                <w:kern w:val="0"/>
                <w:sz w:val="24"/>
                <w:lang w:val="en-US" w:eastAsia="zh-CN"/>
              </w:rPr>
              <w:t>（全部为林地），本项目用地符合南江县国土空间总体规划。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57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其他符合性分析</w:t>
            </w:r>
          </w:p>
        </w:tc>
        <w:tc>
          <w:tcPr>
            <w:tcW w:w="7631" w:type="dxa"/>
            <w:gridSpan w:val="4"/>
            <w:tcMar>
              <w:top w:w="16" w:type="dxa"/>
              <w:left w:w="16" w:type="dxa"/>
              <w:right w:w="16" w:type="dxa"/>
            </w:tcMar>
            <w:vAlign w:val="center"/>
          </w:tcPr>
          <w:p>
            <w:pPr>
              <w:autoSpaceDE w:val="0"/>
              <w:autoSpaceDN w:val="0"/>
              <w:adjustRightInd w:val="0"/>
              <w:snapToGrid w:val="0"/>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1.“三线一单”符合性分析</w:t>
            </w:r>
          </w:p>
          <w:p>
            <w:pPr>
              <w:autoSpaceDE w:val="0"/>
              <w:autoSpaceDN w:val="0"/>
              <w:spacing w:line="360" w:lineRule="auto"/>
              <w:ind w:firstLine="482" w:firstLineChars="200"/>
              <w:rPr>
                <w:rFonts w:hint="default" w:ascii="Times New Roman" w:hAnsi="Times New Roman" w:eastAsia="仿宋" w:cs="Times New Roman"/>
                <w:b/>
                <w:color w:val="auto"/>
                <w:kern w:val="24"/>
                <w:sz w:val="24"/>
              </w:rPr>
            </w:pPr>
            <w:r>
              <w:rPr>
                <w:rFonts w:hint="default" w:ascii="Times New Roman" w:hAnsi="Times New Roman" w:eastAsia="仿宋" w:cs="Times New Roman"/>
                <w:b/>
                <w:color w:val="auto"/>
                <w:kern w:val="24"/>
                <w:sz w:val="24"/>
              </w:rPr>
              <w:t>（1）生态保护红线符合性分析</w:t>
            </w:r>
          </w:p>
          <w:p>
            <w:pPr>
              <w:autoSpaceDE w:val="0"/>
              <w:autoSpaceDN w:val="0"/>
              <w:adjustRightInd w:val="0"/>
              <w:snapToGrid w:val="0"/>
              <w:spacing w:line="360" w:lineRule="auto"/>
              <w:ind w:firstLine="480" w:firstLineChars="200"/>
              <w:jc w:val="both"/>
              <w:rPr>
                <w:rFonts w:hint="eastAsia" w:eastAsia="仿宋" w:cs="Times New Roman"/>
                <w:color w:val="auto"/>
                <w:kern w:val="24"/>
                <w:sz w:val="24"/>
                <w:lang w:val="en-US" w:eastAsia="zh-CN"/>
              </w:rPr>
            </w:pPr>
            <w:r>
              <w:rPr>
                <w:rFonts w:hint="default" w:ascii="Times New Roman" w:hAnsi="Times New Roman" w:eastAsia="仿宋" w:cs="Times New Roman"/>
                <w:color w:val="auto"/>
                <w:kern w:val="24"/>
                <w:sz w:val="24"/>
              </w:rPr>
              <w:t>本项目风电场场址位于</w:t>
            </w:r>
            <w:r>
              <w:rPr>
                <w:rFonts w:hint="eastAsia" w:eastAsia="仿宋" w:cs="Times New Roman"/>
                <w:color w:val="auto"/>
                <w:kern w:val="24"/>
                <w:sz w:val="24"/>
                <w:lang w:eastAsia="zh-CN"/>
              </w:rPr>
              <w:t>四川</w:t>
            </w:r>
            <w:r>
              <w:rPr>
                <w:rFonts w:hint="default" w:ascii="Times New Roman" w:hAnsi="Times New Roman" w:eastAsia="仿宋" w:cs="Times New Roman"/>
                <w:color w:val="auto"/>
                <w:kern w:val="24"/>
                <w:sz w:val="24"/>
              </w:rPr>
              <w:t>省</w:t>
            </w:r>
            <w:r>
              <w:rPr>
                <w:rFonts w:hint="eastAsia" w:eastAsia="仿宋" w:cs="Times New Roman"/>
                <w:color w:val="auto"/>
                <w:kern w:val="24"/>
                <w:sz w:val="24"/>
                <w:lang w:eastAsia="zh-CN"/>
              </w:rPr>
              <w:t>巴中市南江县大河镇、高桥镇</w:t>
            </w:r>
            <w:r>
              <w:rPr>
                <w:rFonts w:hint="default" w:ascii="Times New Roman" w:hAnsi="Times New Roman" w:eastAsia="仿宋" w:cs="Times New Roman"/>
                <w:color w:val="auto"/>
                <w:kern w:val="24"/>
                <w:sz w:val="24"/>
              </w:rPr>
              <w:t>一带，根据</w:t>
            </w:r>
            <w:r>
              <w:rPr>
                <w:rFonts w:hint="eastAsia" w:eastAsia="仿宋" w:cs="Times New Roman"/>
                <w:color w:val="auto"/>
                <w:kern w:val="24"/>
                <w:sz w:val="24"/>
                <w:lang w:val="en-US" w:eastAsia="zh-CN"/>
              </w:rPr>
              <w:t>南江县自然资源和规划局</w:t>
            </w:r>
            <w:r>
              <w:rPr>
                <w:rFonts w:hint="default" w:ascii="Times New Roman" w:hAnsi="Times New Roman" w:eastAsia="仿宋" w:cs="Times New Roman"/>
                <w:color w:val="auto"/>
                <w:kern w:val="24"/>
                <w:sz w:val="24"/>
              </w:rPr>
              <w:t>出具的《</w:t>
            </w:r>
            <w:r>
              <w:rPr>
                <w:rFonts w:hint="eastAsia" w:eastAsia="仿宋" w:cs="Times New Roman"/>
                <w:color w:val="auto"/>
                <w:kern w:val="24"/>
                <w:sz w:val="24"/>
                <w:lang w:eastAsia="zh-CN"/>
              </w:rPr>
              <w:t>南江县自然资源和规划局关于排查华润南江大河50MW风电项目选址是否涉及生态红线、永久基本农田等限制性因素的复函</w:t>
            </w:r>
            <w:r>
              <w:rPr>
                <w:rFonts w:hint="default" w:ascii="Times New Roman" w:hAnsi="Times New Roman" w:eastAsia="仿宋" w:cs="Times New Roman"/>
                <w:color w:val="auto"/>
                <w:kern w:val="24"/>
                <w:sz w:val="24"/>
              </w:rPr>
              <w:t>》，</w:t>
            </w:r>
            <w:r>
              <w:rPr>
                <w:rFonts w:hint="eastAsia" w:eastAsia="仿宋" w:cs="Times New Roman"/>
                <w:color w:val="auto"/>
                <w:kern w:val="24"/>
                <w:sz w:val="24"/>
                <w:lang w:eastAsia="zh-CN"/>
              </w:rPr>
              <w:t>“项目选址范围内不涉及生态保护红线、永久基本农田和市县颁证的有效矿权，选址范围内无在册的地灾隐患点”。</w:t>
            </w:r>
            <w:r>
              <w:rPr>
                <w:rFonts w:hint="eastAsia" w:eastAsia="仿宋" w:cs="Times New Roman"/>
                <w:color w:val="auto"/>
                <w:kern w:val="24"/>
                <w:sz w:val="24"/>
                <w:lang w:val="en-US" w:eastAsia="zh-CN"/>
              </w:rPr>
              <w:t>本项目与生态保护红线位置关系如下：</w:t>
            </w: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pStyle w:val="2"/>
              <w:rPr>
                <w:rFonts w:hint="eastAsia" w:eastAsia="仿宋" w:cs="Times New Roman"/>
                <w:color w:val="auto"/>
                <w:kern w:val="24"/>
                <w:sz w:val="24"/>
                <w:lang w:val="en-US" w:eastAsia="zh-CN"/>
              </w:rPr>
            </w:pPr>
          </w:p>
          <w:p>
            <w:pPr>
              <w:autoSpaceDE w:val="0"/>
              <w:autoSpaceDN w:val="0"/>
              <w:adjustRightInd w:val="0"/>
              <w:snapToGrid w:val="0"/>
              <w:spacing w:line="360" w:lineRule="auto"/>
              <w:ind w:left="0" w:leftChars="0" w:firstLine="0" w:firstLineChars="0"/>
              <w:jc w:val="center"/>
              <w:rPr>
                <w:rFonts w:hint="eastAsia" w:eastAsia="仿宋" w:cs="Times New Roman"/>
                <w:color w:val="auto"/>
                <w:kern w:val="24"/>
                <w:sz w:val="24"/>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1481455</wp:posOffset>
                      </wp:positionH>
                      <wp:positionV relativeFrom="paragraph">
                        <wp:posOffset>1853565</wp:posOffset>
                      </wp:positionV>
                      <wp:extent cx="936625" cy="245745"/>
                      <wp:effectExtent l="4445" t="375285" r="11430" b="7620"/>
                      <wp:wrapNone/>
                      <wp:docPr id="10" name="圆角矩形标注 10"/>
                      <wp:cNvGraphicFramePr/>
                      <a:graphic xmlns:a="http://schemas.openxmlformats.org/drawingml/2006/main">
                        <a:graphicData uri="http://schemas.microsoft.com/office/word/2010/wordprocessingShape">
                          <wps:wsp>
                            <wps:cNvSpPr/>
                            <wps:spPr>
                              <a:xfrm>
                                <a:off x="3389630" y="3108960"/>
                                <a:ext cx="936625" cy="245745"/>
                              </a:xfrm>
                              <a:prstGeom prst="wedgeRoundRectCallout">
                                <a:avLst>
                                  <a:gd name="adj1" fmla="val -38813"/>
                                  <a:gd name="adj2" fmla="val -195994"/>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sz w:val="16"/>
                                      <w:szCs w:val="20"/>
                                      <w:lang w:val="en-US" w:eastAsia="zh-CN"/>
                                      <w14:textFill>
                                        <w14:solidFill>
                                          <w14:schemeClr w14:val="tx1"/>
                                        </w14:solidFill>
                                      </w14:textFill>
                                    </w:rPr>
                                  </w:pPr>
                                  <w:r>
                                    <w:rPr>
                                      <w:rFonts w:hint="eastAsia"/>
                                      <w:color w:val="000000" w:themeColor="text1"/>
                                      <w:sz w:val="16"/>
                                      <w:szCs w:val="20"/>
                                      <w:lang w:val="en-US" w:eastAsia="zh-CN"/>
                                      <w14:textFill>
                                        <w14:solidFill>
                                          <w14:schemeClr w14:val="tx1"/>
                                        </w14:solidFill>
                                      </w14:textFill>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6.65pt;margin-top:145.95pt;height:19.35pt;width:73.75pt;z-index:251662336;v-text-anchor:middle;mso-width-relative:page;mso-height-relative:page;" fillcolor="#FFFFFF [3212]" filled="t" stroked="t" coordsize="21600,21600" o:gfxdata="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AlECW2gAAAAsBAAAPAAAAAAAAAAEAIAAAACIAAABkcnMvZG93bnJldi54bWxQSwECFAAUAAAA&#10;CACHTuJAX/8NKtACAACgBQAADgAAAAAAAAABACAAAAApAQAAZHJzL2Uyb0RvYy54bWxQSwUGAAAA&#10;AAYABgBZAQAAawYAAAAA&#10;" adj="2416,-31535,14400">
                      <v:fill on="t" focussize="0,0"/>
                      <v:stroke weight="0.5pt" color="#000000 [3213]" miterlimit="8" joinstyle="miter"/>
                      <v:imagedata o:title=""/>
                      <o:lock v:ext="edit" aspectratio="f"/>
                      <v:textbox>
                        <w:txbxContent>
                          <w:p>
                            <w:pPr>
                              <w:jc w:val="center"/>
                              <w:rPr>
                                <w:rFonts w:hint="default" w:eastAsia="宋体"/>
                                <w:color w:val="000000" w:themeColor="text1"/>
                                <w:sz w:val="16"/>
                                <w:szCs w:val="20"/>
                                <w:lang w:val="en-US" w:eastAsia="zh-CN"/>
                                <w14:textFill>
                                  <w14:solidFill>
                                    <w14:schemeClr w14:val="tx1"/>
                                  </w14:solidFill>
                                </w14:textFill>
                              </w:rPr>
                            </w:pPr>
                            <w:r>
                              <w:rPr>
                                <w:rFonts w:hint="eastAsia"/>
                                <w:color w:val="000000" w:themeColor="text1"/>
                                <w:sz w:val="16"/>
                                <w:szCs w:val="20"/>
                                <w:lang w:val="en-US" w:eastAsia="zh-CN"/>
                                <w14:textFill>
                                  <w14:solidFill>
                                    <w14:schemeClr w14:val="tx1"/>
                                  </w14:solidFill>
                                </w14:textFill>
                              </w:rPr>
                              <w:t>本项目所在位置</w:t>
                            </w:r>
                          </w:p>
                        </w:txbxContent>
                      </v:textbox>
                    </v:shape>
                  </w:pict>
                </mc:Fallback>
              </mc:AlternateContent>
            </w:r>
            <w:r>
              <w:rPr>
                <w:rFonts w:hint="default" w:ascii="Times New Roman" w:hAnsi="Times New Roman" w:cs="Times New Roman"/>
                <w:color w:val="auto"/>
                <w:highlight w:val="none"/>
              </w:rPr>
              <w:drawing>
                <wp:inline distT="0" distB="0" distL="114300" distR="114300">
                  <wp:extent cx="4745355" cy="3091815"/>
                  <wp:effectExtent l="0" t="0" r="17145" b="13335"/>
                  <wp:docPr id="3" name="图片 3" descr="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态保护红线"/>
                          <pic:cNvPicPr>
                            <a:picLocks noChangeAspect="1"/>
                          </pic:cNvPicPr>
                        </pic:nvPicPr>
                        <pic:blipFill>
                          <a:blip r:embed="rId8"/>
                          <a:srcRect t="650" r="899"/>
                          <a:stretch>
                            <a:fillRect/>
                          </a:stretch>
                        </pic:blipFill>
                        <pic:spPr>
                          <a:xfrm>
                            <a:off x="0" y="0"/>
                            <a:ext cx="4745355" cy="3091815"/>
                          </a:xfrm>
                          <a:prstGeom prst="rect">
                            <a:avLst/>
                          </a:prstGeom>
                          <a:noFill/>
                          <a:ln>
                            <a:noFill/>
                          </a:ln>
                        </pic:spPr>
                      </pic:pic>
                    </a:graphicData>
                  </a:graphic>
                </wp:inline>
              </w:drawing>
            </w:r>
          </w:p>
          <w:p>
            <w:pPr>
              <w:autoSpaceDE w:val="0"/>
              <w:autoSpaceDN w:val="0"/>
              <w:adjustRightInd w:val="0"/>
              <w:snapToGrid w:val="0"/>
              <w:spacing w:line="360" w:lineRule="auto"/>
              <w:jc w:val="center"/>
              <w:rPr>
                <w:rFonts w:hint="default" w:eastAsia="仿宋" w:cs="Times New Roman"/>
                <w:color w:val="auto"/>
                <w:kern w:val="24"/>
                <w:sz w:val="24"/>
                <w:lang w:val="en-US" w:eastAsia="zh-CN"/>
              </w:rPr>
            </w:pPr>
            <w:r>
              <w:rPr>
                <w:rFonts w:hint="default" w:ascii="Times New Roman" w:hAnsi="Times New Roman" w:eastAsia="仿宋" w:cs="Times New Roman"/>
                <w:b/>
                <w:color w:val="auto"/>
                <w:kern w:val="0"/>
                <w:szCs w:val="21"/>
              </w:rPr>
              <w:t>图</w:t>
            </w:r>
            <w:r>
              <w:rPr>
                <w:rFonts w:hint="eastAsia" w:eastAsia="仿宋" w:cs="Times New Roman"/>
                <w:b/>
                <w:color w:val="auto"/>
                <w:kern w:val="0"/>
                <w:szCs w:val="21"/>
                <w:lang w:val="en-US" w:eastAsia="zh-CN"/>
              </w:rPr>
              <w:t>1</w:t>
            </w:r>
            <w:r>
              <w:rPr>
                <w:rFonts w:hint="default" w:ascii="Times New Roman" w:hAnsi="Times New Roman" w:eastAsia="仿宋" w:cs="Times New Roman"/>
                <w:b/>
                <w:color w:val="auto"/>
                <w:kern w:val="0"/>
                <w:szCs w:val="21"/>
              </w:rPr>
              <w:t xml:space="preserve">-1  </w:t>
            </w:r>
            <w:r>
              <w:rPr>
                <w:rFonts w:hint="eastAsia" w:eastAsia="仿宋" w:cs="Times New Roman"/>
                <w:b/>
                <w:color w:val="auto"/>
                <w:kern w:val="0"/>
                <w:szCs w:val="21"/>
                <w:lang w:val="en-US" w:eastAsia="zh-CN"/>
              </w:rPr>
              <w:t>本项目与生态红线位置关系图</w:t>
            </w:r>
          </w:p>
          <w:p>
            <w:pPr>
              <w:autoSpaceDE w:val="0"/>
              <w:autoSpaceDN w:val="0"/>
              <w:adjustRightInd w:val="0"/>
              <w:snapToGrid w:val="0"/>
              <w:spacing w:line="360" w:lineRule="auto"/>
              <w:ind w:firstLine="482" w:firstLineChars="200"/>
              <w:jc w:val="left"/>
              <w:rPr>
                <w:rFonts w:hint="default" w:ascii="Times New Roman" w:hAnsi="Times New Roman" w:eastAsia="仿宋" w:cs="Times New Roman"/>
                <w:b/>
                <w:color w:val="auto"/>
                <w:kern w:val="0"/>
                <w:sz w:val="24"/>
              </w:rPr>
            </w:pPr>
            <w:r>
              <w:rPr>
                <w:rFonts w:hint="default" w:ascii="Times New Roman" w:hAnsi="Times New Roman" w:eastAsia="仿宋" w:cs="Times New Roman"/>
                <w:b/>
                <w:color w:val="auto"/>
                <w:kern w:val="0"/>
                <w:sz w:val="24"/>
              </w:rPr>
              <w:t>（2）环境质量底线符合性分析</w:t>
            </w:r>
          </w:p>
          <w:p>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依据区域环境质量现状调查和监测可知，项目所在地的其他各项环境指标均能达到相关标准要求，本项目运行期无生产性废气产生，对区域环境空气质量无影响；生活污水经化粪池沉淀后通过污水管道最终汇到生活污水调节池，经一体化污水处理设备处理达标后，可作为厂区绿化和道路喷洒用水，废水不外排，对区域地表水体无影响；运行期噪声主要为升压站主变噪声及风力发电机噪声，影响范围较小；项目占地范围内动植物在当地普遍存在，且生物量损失相对区域存量较小，项目建设对当地生态环境影响较小。</w:t>
            </w:r>
          </w:p>
          <w:p>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综上所述，项目所地环境质量现状良好，项目建成后对区域环境质量影响也较小。</w:t>
            </w:r>
          </w:p>
          <w:p>
            <w:pPr>
              <w:autoSpaceDE w:val="0"/>
              <w:autoSpaceDN w:val="0"/>
              <w:adjustRightInd w:val="0"/>
              <w:snapToGrid w:val="0"/>
              <w:spacing w:line="360" w:lineRule="auto"/>
              <w:ind w:firstLine="482" w:firstLineChars="200"/>
              <w:jc w:val="left"/>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（3）资源利用上线符合性分析</w:t>
            </w:r>
          </w:p>
          <w:p>
            <w:pPr>
              <w:autoSpaceDE w:val="0"/>
              <w:autoSpaceDN w:val="0"/>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生活污水经处理后，作为厂区绿化和道路喷洒用水在站区综合利用，最大程度利用了水资源。在风电场选址及道路选线时结合地形地貌，以减少占地面积和开挖量，并尽量利用现有道路，且临时占地在采取防护措施及植被恢复措施的基础上，风电场所在区域生态环境能及时得到恢复，合理的利用了土地资源。同时，风力发电是风能利用的重要形式，本项目风电场场址处风功率密度等级为D-1级，风电场具有一定的开发价值，本项目的建设有效地利用了当地风能资源。</w:t>
            </w:r>
          </w:p>
          <w:p>
            <w:pPr>
              <w:autoSpaceDE w:val="0"/>
              <w:autoSpaceDN w:val="0"/>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本项目的建设满足资源利用上线的控制要求。</w:t>
            </w:r>
          </w:p>
          <w:p>
            <w:pPr>
              <w:autoSpaceDE w:val="0"/>
              <w:autoSpaceDN w:val="0"/>
              <w:adjustRightInd w:val="0"/>
              <w:snapToGrid w:val="0"/>
              <w:spacing w:line="360" w:lineRule="auto"/>
              <w:ind w:firstLine="482" w:firstLineChars="200"/>
              <w:jc w:val="left"/>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w:t>
            </w:r>
            <w:r>
              <w:rPr>
                <w:rFonts w:hint="eastAsia" w:eastAsia="仿宋" w:cs="Times New Roman"/>
                <w:b/>
                <w:color w:val="auto"/>
                <w:sz w:val="24"/>
                <w:lang w:val="en-US" w:eastAsia="zh-CN"/>
              </w:rPr>
              <w:t>与生态环境准入清单</w:t>
            </w:r>
            <w:r>
              <w:rPr>
                <w:rFonts w:hint="default" w:ascii="Times New Roman" w:hAnsi="Times New Roman" w:eastAsia="仿宋" w:cs="Times New Roman"/>
                <w:b/>
                <w:color w:val="auto"/>
                <w:sz w:val="24"/>
              </w:rPr>
              <w:t>符合性分析</w:t>
            </w:r>
          </w:p>
          <w:p>
            <w:pPr>
              <w:adjustRightInd w:val="0"/>
              <w:spacing w:line="360" w:lineRule="auto"/>
              <w:ind w:firstLine="480" w:firstLineChars="200"/>
              <w:rPr>
                <w:rFonts w:hint="eastAsia" w:ascii="Times New Roman" w:hAnsi="Times New Roman" w:eastAsia="仿宋"/>
                <w:color w:val="auto"/>
                <w:sz w:val="24"/>
              </w:rPr>
            </w:pPr>
            <w:r>
              <w:rPr>
                <w:rFonts w:hint="eastAsia" w:ascii="Times New Roman" w:hAnsi="Times New Roman" w:eastAsia="仿宋"/>
                <w:color w:val="auto"/>
                <w:sz w:val="24"/>
              </w:rPr>
              <w:t>根据《巴中市生态环境保护委员会办公室关于加强生态环境分区管控的通知》（巴环委办〔2024〕3号），市从生态环境保护角度共划定环境管控单元38个，其中优先保护单元13个，重点管控单元20个，一般管控单元5个</w:t>
            </w:r>
            <w:r>
              <w:rPr>
                <w:rFonts w:hint="eastAsia" w:eastAsia="仿宋"/>
                <w:color w:val="auto"/>
                <w:sz w:val="24"/>
                <w:lang w:eastAsia="zh-CN"/>
              </w:rPr>
              <w:t>。</w:t>
            </w:r>
            <w:r>
              <w:rPr>
                <w:rFonts w:hint="eastAsia" w:ascii="Times New Roman" w:hAnsi="Times New Roman" w:eastAsia="仿宋"/>
                <w:color w:val="auto"/>
                <w:sz w:val="24"/>
              </w:rPr>
              <w:t>项目所在</w:t>
            </w:r>
            <w:r>
              <w:rPr>
                <w:rFonts w:hint="eastAsia" w:eastAsia="仿宋"/>
                <w:color w:val="auto"/>
                <w:sz w:val="24"/>
                <w:lang w:val="en-US" w:eastAsia="zh-CN"/>
              </w:rPr>
              <w:t>为</w:t>
            </w:r>
            <w:r>
              <w:rPr>
                <w:rFonts w:hint="eastAsia" w:eastAsia="仿宋"/>
                <w:color w:val="auto"/>
                <w:sz w:val="24"/>
                <w:lang w:eastAsia="zh-CN"/>
              </w:rPr>
              <w:t>巴中市南江县大河镇、高桥镇</w:t>
            </w:r>
            <w:r>
              <w:rPr>
                <w:rFonts w:hint="eastAsia" w:eastAsia="仿宋"/>
                <w:color w:val="auto"/>
                <w:sz w:val="24"/>
                <w:lang w:val="en-US" w:eastAsia="zh-CN"/>
              </w:rPr>
              <w:t>优先保护单元</w:t>
            </w:r>
            <w:r>
              <w:rPr>
                <w:rFonts w:hint="eastAsia" w:ascii="Times New Roman" w:hAnsi="Times New Roman" w:eastAsia="仿宋"/>
                <w:color w:val="auto"/>
                <w:sz w:val="24"/>
              </w:rPr>
              <w:t>，具体管控要求见下表。</w:t>
            </w:r>
          </w:p>
          <w:p>
            <w:pPr>
              <w:adjustRightInd w:val="0"/>
              <w:spacing w:line="360" w:lineRule="auto"/>
              <w:jc w:val="center"/>
              <w:rPr>
                <w:rFonts w:hint="eastAsia" w:ascii="Times New Roman" w:hAnsi="Times New Roman" w:eastAsia="仿宋"/>
                <w:b/>
                <w:bCs/>
                <w:color w:val="auto"/>
                <w:sz w:val="21"/>
                <w:szCs w:val="21"/>
              </w:rPr>
            </w:pPr>
            <w:r>
              <w:rPr>
                <w:rFonts w:hint="eastAsia" w:ascii="Times New Roman" w:hAnsi="Times New Roman" w:eastAsia="仿宋"/>
                <w:b/>
                <w:bCs/>
                <w:color w:val="auto"/>
                <w:sz w:val="21"/>
                <w:szCs w:val="21"/>
              </w:rPr>
              <w:t>表1-</w:t>
            </w:r>
            <w:r>
              <w:rPr>
                <w:rFonts w:hint="eastAsia" w:eastAsia="仿宋"/>
                <w:b/>
                <w:bCs/>
                <w:color w:val="auto"/>
                <w:sz w:val="21"/>
                <w:szCs w:val="21"/>
                <w:lang w:val="en-US" w:eastAsia="zh-CN"/>
              </w:rPr>
              <w:t>2与总体</w:t>
            </w:r>
            <w:r>
              <w:rPr>
                <w:rFonts w:hint="eastAsia" w:ascii="Times New Roman" w:hAnsi="Times New Roman" w:eastAsia="仿宋"/>
                <w:b/>
                <w:bCs/>
                <w:color w:val="auto"/>
                <w:sz w:val="21"/>
                <w:szCs w:val="21"/>
              </w:rPr>
              <w:t>生态环境分区管控要求</w:t>
            </w:r>
            <w:r>
              <w:rPr>
                <w:rFonts w:hint="eastAsia" w:eastAsia="仿宋"/>
                <w:b/>
                <w:bCs/>
                <w:color w:val="auto"/>
                <w:sz w:val="21"/>
                <w:szCs w:val="21"/>
                <w:lang w:val="en-US" w:eastAsia="zh-CN"/>
              </w:rPr>
              <w:t>符合性</w:t>
            </w:r>
            <w:r>
              <w:rPr>
                <w:rFonts w:hint="eastAsia" w:ascii="Times New Roman" w:hAnsi="Times New Roman" w:eastAsia="仿宋"/>
                <w:b/>
                <w:bCs/>
                <w:color w:val="auto"/>
                <w:sz w:val="21"/>
                <w:szCs w:val="21"/>
              </w:rPr>
              <w:t>一览表</w:t>
            </w:r>
          </w:p>
          <w:tbl>
            <w:tblPr>
              <w:tblStyle w:val="21"/>
              <w:tblW w:w="4987"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049"/>
              <w:gridCol w:w="3094"/>
              <w:gridCol w:w="731"/>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op w:val="single" w:color="auto" w:sz="12" w:space="0"/>
                  </w:tcBorders>
                  <w:noWrap w:val="0"/>
                  <w:vAlign w:val="center"/>
                </w:tcPr>
                <w:p>
                  <w:pPr>
                    <w:pStyle w:val="82"/>
                    <w:spacing w:before="62"/>
                    <w:ind w:right="31"/>
                    <w:jc w:val="center"/>
                    <w:rPr>
                      <w:rFonts w:hint="default" w:ascii="Times New Roman" w:hAnsi="Times New Roman" w:eastAsia="仿宋" w:cs="Times New Roman"/>
                      <w:b/>
                      <w:bCs/>
                      <w:color w:val="auto"/>
                      <w:spacing w:val="5"/>
                      <w:sz w:val="21"/>
                      <w:szCs w:val="21"/>
                    </w:rPr>
                  </w:pPr>
                  <w:r>
                    <w:rPr>
                      <w:rFonts w:hint="default" w:ascii="Times New Roman" w:hAnsi="Times New Roman" w:eastAsia="仿宋" w:cs="Times New Roman"/>
                      <w:b/>
                      <w:bCs/>
                      <w:color w:val="auto"/>
                      <w:spacing w:val="5"/>
                      <w:sz w:val="21"/>
                      <w:szCs w:val="21"/>
                    </w:rPr>
                    <w:t>行政区划</w:t>
                  </w:r>
                </w:p>
              </w:tc>
              <w:tc>
                <w:tcPr>
                  <w:tcW w:w="2012" w:type="pct"/>
                  <w:tcBorders>
                    <w:top w:val="single" w:color="auto" w:sz="12" w:space="0"/>
                  </w:tcBorders>
                  <w:noWrap w:val="0"/>
                  <w:vAlign w:val="center"/>
                </w:tcPr>
                <w:p>
                  <w:pPr>
                    <w:pStyle w:val="82"/>
                    <w:spacing w:before="62"/>
                    <w:ind w:right="31"/>
                    <w:jc w:val="center"/>
                    <w:rPr>
                      <w:rFonts w:hint="default" w:ascii="Times New Roman" w:hAnsi="Times New Roman" w:eastAsia="仿宋" w:cs="Times New Roman"/>
                      <w:b/>
                      <w:bCs/>
                      <w:color w:val="auto"/>
                      <w:spacing w:val="5"/>
                      <w:sz w:val="21"/>
                      <w:szCs w:val="21"/>
                    </w:rPr>
                  </w:pPr>
                  <w:r>
                    <w:rPr>
                      <w:rFonts w:hint="default" w:ascii="Times New Roman" w:hAnsi="Times New Roman" w:eastAsia="仿宋" w:cs="Times New Roman"/>
                      <w:b/>
                      <w:bCs/>
                      <w:color w:val="auto"/>
                      <w:spacing w:val="5"/>
                      <w:sz w:val="21"/>
                      <w:szCs w:val="21"/>
                    </w:rPr>
                    <w:t>总体生态环境管控要求</w:t>
                  </w:r>
                </w:p>
              </w:tc>
              <w:tc>
                <w:tcPr>
                  <w:tcW w:w="2042" w:type="pct"/>
                  <w:tcBorders>
                    <w:top w:val="single" w:color="auto" w:sz="12" w:space="0"/>
                  </w:tcBorders>
                  <w:noWrap w:val="0"/>
                  <w:vAlign w:val="center"/>
                </w:tcPr>
                <w:p>
                  <w:pPr>
                    <w:pStyle w:val="82"/>
                    <w:spacing w:before="62"/>
                    <w:ind w:right="31"/>
                    <w:jc w:val="center"/>
                    <w:rPr>
                      <w:rFonts w:hint="default" w:ascii="Times New Roman" w:hAnsi="Times New Roman" w:eastAsia="仿宋" w:cs="Times New Roman"/>
                      <w:b/>
                      <w:bCs/>
                      <w:color w:val="auto"/>
                      <w:spacing w:val="5"/>
                      <w:sz w:val="21"/>
                      <w:szCs w:val="21"/>
                    </w:rPr>
                  </w:pPr>
                  <w:r>
                    <w:rPr>
                      <w:rFonts w:hint="default" w:ascii="Times New Roman" w:hAnsi="Times New Roman" w:eastAsia="仿宋" w:cs="Times New Roman"/>
                      <w:b/>
                      <w:bCs/>
                      <w:color w:val="auto"/>
                      <w:spacing w:val="5"/>
                      <w:sz w:val="21"/>
                      <w:szCs w:val="21"/>
                    </w:rPr>
                    <w:t>本项目实际情况</w:t>
                  </w:r>
                </w:p>
              </w:tc>
              <w:tc>
                <w:tcPr>
                  <w:tcW w:w="482" w:type="pct"/>
                  <w:tcBorders>
                    <w:top w:val="single" w:color="auto" w:sz="12" w:space="0"/>
                    <w:right w:val="nil"/>
                  </w:tcBorders>
                  <w:noWrap w:val="0"/>
                  <w:vAlign w:val="center"/>
                </w:tcPr>
                <w:p>
                  <w:pPr>
                    <w:pStyle w:val="82"/>
                    <w:spacing w:before="62"/>
                    <w:ind w:right="31"/>
                    <w:jc w:val="center"/>
                    <w:rPr>
                      <w:rFonts w:hint="default" w:ascii="Times New Roman" w:hAnsi="Times New Roman" w:eastAsia="仿宋" w:cs="Times New Roman"/>
                      <w:b/>
                      <w:bCs/>
                      <w:color w:val="auto"/>
                      <w:spacing w:val="5"/>
                      <w:sz w:val="21"/>
                      <w:szCs w:val="21"/>
                    </w:rPr>
                  </w:pPr>
                  <w:r>
                    <w:rPr>
                      <w:rFonts w:hint="default" w:ascii="Times New Roman" w:hAnsi="Times New Roman" w:eastAsia="仿宋" w:cs="Times New Roman"/>
                      <w:b/>
                      <w:bCs/>
                      <w:color w:val="auto"/>
                      <w:spacing w:val="5"/>
                      <w:sz w:val="21"/>
                      <w:szCs w:val="21"/>
                    </w:rPr>
                    <w:t>符合性</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restart"/>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巴中市</w:t>
                  </w: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培育和引入产业必须符合国家产业政策，严控新建、扩建“两高”项目，强化企业环境管理</w:t>
                  </w:r>
                </w:p>
              </w:tc>
              <w:tc>
                <w:tcPr>
                  <w:tcW w:w="2042" w:type="pct"/>
                  <w:noWrap w:val="0"/>
                  <w:vAlign w:val="center"/>
                </w:tcPr>
                <w:p>
                  <w:pPr>
                    <w:pStyle w:val="82"/>
                    <w:spacing w:before="62"/>
                    <w:ind w:right="31"/>
                    <w:jc w:val="center"/>
                    <w:rPr>
                      <w:rFonts w:hint="default" w:ascii="Times New Roman" w:hAnsi="Times New Roman" w:eastAsia="仿宋" w:cs="Times New Roman"/>
                      <w:color w:val="auto"/>
                      <w:spacing w:val="5"/>
                      <w:sz w:val="21"/>
                      <w:szCs w:val="21"/>
                      <w:lang w:val="en-US"/>
                    </w:rPr>
                  </w:pPr>
                  <w:r>
                    <w:rPr>
                      <w:rFonts w:hint="default" w:ascii="Times New Roman" w:hAnsi="Times New Roman" w:eastAsia="仿宋" w:cs="Times New Roman"/>
                      <w:color w:val="auto"/>
                      <w:spacing w:val="5"/>
                      <w:sz w:val="21"/>
                      <w:szCs w:val="21"/>
                      <w:lang w:val="en-US" w:eastAsia="zh-CN"/>
                    </w:rPr>
                    <w:t>本项目不属于“两高”项目</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强化水、大气、土壤等污染源头管控，深化环境污染治理，完善污染治理基础设施，巩固提升环境质量</w:t>
                  </w:r>
                </w:p>
              </w:tc>
              <w:tc>
                <w:tcPr>
                  <w:tcW w:w="204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lang w:val="en-US" w:eastAsia="zh-CN"/>
                    </w:rPr>
                  </w:pPr>
                  <w:r>
                    <w:rPr>
                      <w:rFonts w:hint="default" w:ascii="Times New Roman" w:hAnsi="Times New Roman" w:eastAsia="仿宋" w:cs="Times New Roman"/>
                      <w:color w:val="auto"/>
                      <w:spacing w:val="5"/>
                      <w:sz w:val="21"/>
                      <w:szCs w:val="21"/>
                      <w:lang w:val="en-US" w:eastAsia="zh-CN"/>
                    </w:rPr>
                    <w:t>本项目废水主要为</w:t>
                  </w:r>
                  <w:r>
                    <w:rPr>
                      <w:rFonts w:hint="eastAsia" w:ascii="Times New Roman" w:hAnsi="Times New Roman" w:eastAsia="仿宋" w:cs="Times New Roman"/>
                      <w:color w:val="auto"/>
                      <w:spacing w:val="5"/>
                      <w:sz w:val="21"/>
                      <w:szCs w:val="21"/>
                      <w:lang w:val="en-US" w:eastAsia="zh-CN"/>
                    </w:rPr>
                    <w:t>车辆冲洗</w:t>
                  </w:r>
                  <w:r>
                    <w:rPr>
                      <w:rFonts w:hint="default" w:ascii="Times New Roman" w:hAnsi="Times New Roman" w:eastAsia="仿宋" w:cs="Times New Roman"/>
                      <w:color w:val="auto"/>
                      <w:spacing w:val="5"/>
                      <w:sz w:val="21"/>
                      <w:szCs w:val="21"/>
                      <w:lang w:val="en-US" w:eastAsia="zh-CN"/>
                    </w:rPr>
                    <w:t>废水，产生的废水经</w:t>
                  </w:r>
                  <w:r>
                    <w:rPr>
                      <w:rFonts w:hint="eastAsia" w:ascii="Times New Roman" w:hAnsi="Times New Roman" w:eastAsia="仿宋" w:cs="Times New Roman"/>
                      <w:color w:val="auto"/>
                      <w:spacing w:val="5"/>
                      <w:sz w:val="21"/>
                      <w:szCs w:val="21"/>
                      <w:lang w:val="en-US" w:eastAsia="zh-CN"/>
                    </w:rPr>
                    <w:t>沉淀</w:t>
                  </w:r>
                  <w:r>
                    <w:rPr>
                      <w:rFonts w:hint="default" w:ascii="Times New Roman" w:hAnsi="Times New Roman" w:eastAsia="仿宋" w:cs="Times New Roman"/>
                      <w:color w:val="auto"/>
                      <w:spacing w:val="5"/>
                      <w:sz w:val="21"/>
                      <w:szCs w:val="21"/>
                      <w:lang w:val="en-US" w:eastAsia="zh-CN"/>
                    </w:rPr>
                    <w:t>池处理后</w:t>
                  </w:r>
                  <w:r>
                    <w:rPr>
                      <w:rFonts w:hint="eastAsia" w:ascii="Times New Roman" w:hAnsi="Times New Roman" w:eastAsia="仿宋" w:cs="Times New Roman"/>
                      <w:color w:val="auto"/>
                      <w:spacing w:val="5"/>
                      <w:sz w:val="21"/>
                      <w:szCs w:val="21"/>
                      <w:lang w:val="en-US" w:eastAsia="zh-CN"/>
                    </w:rPr>
                    <w:t>循环使用</w:t>
                  </w:r>
                  <w:r>
                    <w:rPr>
                      <w:rFonts w:hint="default" w:ascii="Times New Roman" w:hAnsi="Times New Roman" w:eastAsia="仿宋" w:cs="Times New Roman"/>
                      <w:color w:val="auto"/>
                      <w:spacing w:val="5"/>
                      <w:sz w:val="21"/>
                      <w:szCs w:val="21"/>
                      <w:lang w:val="en-US" w:eastAsia="zh-CN"/>
                    </w:rPr>
                    <w:t>；</w:t>
                  </w:r>
                  <w:r>
                    <w:rPr>
                      <w:rFonts w:hint="eastAsia" w:ascii="Times New Roman" w:hAnsi="Times New Roman" w:eastAsia="仿宋" w:cs="Times New Roman"/>
                      <w:color w:val="auto"/>
                      <w:spacing w:val="5"/>
                      <w:sz w:val="21"/>
                      <w:szCs w:val="21"/>
                      <w:lang w:val="en-US" w:eastAsia="zh-CN"/>
                    </w:rPr>
                    <w:t>运行期无生产性废气产生</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合理控制并优化生态环境敏感区内的旅游开发建设活动，合理开发利用水利资源，大力发展生态康养旅游产业。严格落实自然保护地、生态保护红线、集中式饮用水水源保护区等管控要求</w:t>
                  </w:r>
                </w:p>
              </w:tc>
              <w:tc>
                <w:tcPr>
                  <w:tcW w:w="204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本项目不</w:t>
                  </w:r>
                  <w:r>
                    <w:rPr>
                      <w:rFonts w:hint="default" w:ascii="Times New Roman" w:hAnsi="Times New Roman" w:eastAsia="仿宋" w:cs="Times New Roman"/>
                      <w:color w:val="auto"/>
                      <w:spacing w:val="5"/>
                      <w:sz w:val="21"/>
                      <w:szCs w:val="21"/>
                      <w:lang w:val="en-US" w:eastAsia="zh-CN"/>
                    </w:rPr>
                    <w:t>涉及</w:t>
                  </w:r>
                  <w:r>
                    <w:rPr>
                      <w:rFonts w:hint="default" w:ascii="Times New Roman" w:hAnsi="Times New Roman" w:eastAsia="仿宋" w:cs="Times New Roman"/>
                      <w:color w:val="auto"/>
                      <w:spacing w:val="5"/>
                      <w:sz w:val="21"/>
                      <w:szCs w:val="21"/>
                    </w:rPr>
                    <w:t>自然保护地、生态保护红线、集中式饮用水水源保护区等区域。</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加强农村环境综合治理，积极发展生态农业和有机农业，严格控制化肥、农药、农膜使用量，合理布局畜禽养殖，持续推进畜禽粪污综合利用</w:t>
                  </w:r>
                </w:p>
              </w:tc>
              <w:tc>
                <w:tcPr>
                  <w:tcW w:w="2042" w:type="pct"/>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eastAsia" w:ascii="Times New Roman" w:hAnsi="Times New Roman" w:eastAsia="仿宋" w:cs="Times New Roman"/>
                      <w:color w:val="auto"/>
                      <w:spacing w:val="5"/>
                      <w:sz w:val="21"/>
                      <w:szCs w:val="21"/>
                      <w:lang w:val="en-US" w:eastAsia="zh-CN"/>
                    </w:rPr>
                    <w:t>不涉及</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加强城乡集中式饮用水水源保护，确保饮用水水源安全</w:t>
                  </w:r>
                </w:p>
              </w:tc>
              <w:tc>
                <w:tcPr>
                  <w:tcW w:w="2042" w:type="pct"/>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不涉及</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加强与相邻省、市的环境风险联防联控</w:t>
                  </w:r>
                </w:p>
              </w:tc>
              <w:tc>
                <w:tcPr>
                  <w:tcW w:w="204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本项目建成后加强环境风险管控，制定应急预案，加强与相邻省、市的环境风险联防联控</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restart"/>
                  <w:noWrap w:val="0"/>
                  <w:vAlign w:val="center"/>
                </w:tcPr>
                <w:p>
                  <w:pPr>
                    <w:pStyle w:val="82"/>
                    <w:spacing w:before="62"/>
                    <w:ind w:right="31"/>
                    <w:jc w:val="center"/>
                    <w:rPr>
                      <w:rFonts w:hint="eastAsia" w:ascii="Times New Roman" w:hAnsi="Times New Roman" w:eastAsia="仿宋" w:cs="Times New Roman"/>
                      <w:color w:val="auto"/>
                      <w:spacing w:val="5"/>
                      <w:sz w:val="21"/>
                      <w:szCs w:val="21"/>
                      <w:lang w:val="en-US" w:eastAsia="zh-CN"/>
                    </w:rPr>
                  </w:pPr>
                  <w:r>
                    <w:rPr>
                      <w:rFonts w:hint="eastAsia" w:ascii="Times New Roman" w:hAnsi="Times New Roman" w:eastAsia="仿宋" w:cs="Times New Roman"/>
                      <w:color w:val="auto"/>
                      <w:spacing w:val="5"/>
                      <w:sz w:val="21"/>
                      <w:szCs w:val="21"/>
                      <w:lang w:val="en-US" w:eastAsia="zh-CN"/>
                    </w:rPr>
                    <w:t>南江县</w:t>
                  </w: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统筹生态环境保护与经济社会发展的关系，落实重点生态功能区的定位管控要求，加强生物多样性保护和天然林保护</w:t>
                  </w:r>
                </w:p>
              </w:tc>
              <w:tc>
                <w:tcPr>
                  <w:tcW w:w="2042" w:type="pct"/>
                  <w:noWrap w:val="0"/>
                  <w:vAlign w:val="center"/>
                </w:tcPr>
                <w:p>
                  <w:pPr>
                    <w:pStyle w:val="82"/>
                    <w:spacing w:before="62"/>
                    <w:ind w:right="31"/>
                    <w:jc w:val="both"/>
                    <w:rPr>
                      <w:rFonts w:hint="eastAsia" w:ascii="Times New Roman" w:hAnsi="Times New Roman" w:eastAsia="仿宋" w:cs="Times New Roman"/>
                      <w:color w:val="auto"/>
                      <w:spacing w:val="5"/>
                      <w:sz w:val="21"/>
                      <w:szCs w:val="21"/>
                      <w:lang w:val="en-US" w:eastAsia="zh-CN"/>
                    </w:rPr>
                  </w:pPr>
                  <w:r>
                    <w:rPr>
                      <w:rFonts w:hint="default" w:ascii="Times New Roman" w:hAnsi="Times New Roman" w:eastAsia="仿宋" w:cs="Times New Roman"/>
                      <w:color w:val="auto"/>
                      <w:spacing w:val="5"/>
                      <w:sz w:val="21"/>
                      <w:szCs w:val="21"/>
                    </w:rPr>
                    <w:t>本项目采取可行性污染防治措施后，噪声可达标排放，固体废物妥善处置，对周边环境不会造成明显影响</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推进流域水生态环境修复与治理，更加注重城乡生态环境保护基础设施建设与管理</w:t>
                  </w:r>
                </w:p>
              </w:tc>
              <w:tc>
                <w:tcPr>
                  <w:tcW w:w="204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lang w:val="en-US" w:eastAsia="zh-CN"/>
                    </w:rPr>
                  </w:pPr>
                  <w:r>
                    <w:rPr>
                      <w:rFonts w:hint="eastAsia" w:ascii="Times New Roman" w:hAnsi="Times New Roman" w:eastAsia="仿宋" w:cs="Times New Roman"/>
                      <w:color w:val="auto"/>
                      <w:spacing w:val="5"/>
                      <w:sz w:val="21"/>
                      <w:szCs w:val="21"/>
                      <w:lang w:val="en-US" w:eastAsia="zh-CN"/>
                    </w:rPr>
                    <w:t>本项目施工结束后将进行生态恢复，对周边环境噪声的生态影响较小</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进一步调整优化矿产资源开发利用结构，加强矿产、油气等资源开发项目和工矿废弃地的污染治理及生态修复</w:t>
                  </w:r>
                </w:p>
              </w:tc>
              <w:tc>
                <w:tcPr>
                  <w:tcW w:w="2042" w:type="pct"/>
                  <w:noWrap w:val="0"/>
                  <w:vAlign w:val="center"/>
                </w:tcPr>
                <w:p>
                  <w:pPr>
                    <w:pStyle w:val="82"/>
                    <w:spacing w:before="62"/>
                    <w:ind w:right="31"/>
                    <w:jc w:val="center"/>
                    <w:rPr>
                      <w:rFonts w:hint="default" w:ascii="Times New Roman" w:hAnsi="Times New Roman" w:eastAsia="仿宋" w:cs="Times New Roman"/>
                      <w:color w:val="auto"/>
                      <w:spacing w:val="5"/>
                      <w:sz w:val="21"/>
                      <w:szCs w:val="21"/>
                      <w:lang w:eastAsia="zh-CN"/>
                    </w:rPr>
                  </w:pPr>
                  <w:r>
                    <w:rPr>
                      <w:rFonts w:hint="eastAsia" w:ascii="Times New Roman" w:hAnsi="Times New Roman" w:eastAsia="仿宋" w:cs="Times New Roman"/>
                      <w:color w:val="auto"/>
                      <w:spacing w:val="5"/>
                      <w:sz w:val="21"/>
                      <w:szCs w:val="21"/>
                      <w:lang w:val="en-US" w:eastAsia="zh-CN"/>
                    </w:rPr>
                    <w:t>不涉及</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持续加强工业“三废”治理，严格环境准入条件，落实“两高”企业退出制度</w:t>
                  </w:r>
                </w:p>
              </w:tc>
              <w:tc>
                <w:tcPr>
                  <w:tcW w:w="204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lang w:val="en-US" w:eastAsia="zh-CN"/>
                    </w:rPr>
                  </w:pPr>
                  <w:r>
                    <w:rPr>
                      <w:rFonts w:hint="default" w:ascii="Times New Roman" w:hAnsi="Times New Roman" w:eastAsia="仿宋" w:cs="Times New Roman"/>
                      <w:color w:val="auto"/>
                      <w:spacing w:val="5"/>
                      <w:sz w:val="21"/>
                      <w:szCs w:val="21"/>
                    </w:rPr>
                    <w:t>本项目</w:t>
                  </w:r>
                  <w:r>
                    <w:rPr>
                      <w:rFonts w:hint="eastAsia" w:ascii="Times New Roman" w:hAnsi="Times New Roman" w:eastAsia="仿宋" w:cs="Times New Roman"/>
                      <w:color w:val="auto"/>
                      <w:spacing w:val="5"/>
                      <w:sz w:val="21"/>
                      <w:szCs w:val="21"/>
                      <w:lang w:val="en-US" w:eastAsia="zh-CN"/>
                    </w:rPr>
                    <w:t>属于风力发电项目，不属于</w:t>
                  </w:r>
                  <w:r>
                    <w:rPr>
                      <w:rFonts w:hint="default" w:ascii="Times New Roman" w:hAnsi="Times New Roman" w:eastAsia="仿宋" w:cs="Times New Roman"/>
                      <w:color w:val="auto"/>
                      <w:spacing w:val="5"/>
                      <w:sz w:val="21"/>
                      <w:szCs w:val="21"/>
                    </w:rPr>
                    <w:t>“两高”企业</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62" w:type="pct"/>
                  <w:vMerge w:val="continue"/>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强化水土流失防治，推进良好水体保护</w:t>
                  </w:r>
                </w:p>
              </w:tc>
              <w:tc>
                <w:tcPr>
                  <w:tcW w:w="204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lang w:val="en-US" w:eastAsia="zh-CN"/>
                    </w:rPr>
                  </w:pPr>
                  <w:r>
                    <w:rPr>
                      <w:rFonts w:hint="eastAsia" w:ascii="Times New Roman" w:hAnsi="Times New Roman" w:eastAsia="仿宋" w:cs="Times New Roman"/>
                      <w:color w:val="auto"/>
                      <w:spacing w:val="5"/>
                      <w:sz w:val="21"/>
                      <w:szCs w:val="21"/>
                      <w:lang w:val="en-US" w:eastAsia="zh-CN"/>
                    </w:rPr>
                    <w:t>本项目施工期和运营期均采取水保措施减少水土流失</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62" w:type="pct"/>
                  <w:vMerge w:val="continue"/>
                  <w:tcBorders>
                    <w:bottom w:val="single" w:color="auto" w:sz="12" w:space="0"/>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p>
              </w:tc>
              <w:tc>
                <w:tcPr>
                  <w:tcW w:w="2012" w:type="pct"/>
                  <w:tcBorders>
                    <w:bottom w:val="single" w:color="auto" w:sz="12" w:space="0"/>
                  </w:tcBorders>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注重水源涵养地的保护，加强对光雾山、关坝、杨坝等区域的生态环境重点管控，从严审批各类资源开发项目</w:t>
                  </w:r>
                </w:p>
              </w:tc>
              <w:tc>
                <w:tcPr>
                  <w:tcW w:w="2042" w:type="pct"/>
                  <w:tcBorders>
                    <w:bottom w:val="single" w:color="auto" w:sz="12" w:space="0"/>
                  </w:tcBorders>
                  <w:noWrap w:val="0"/>
                  <w:vAlign w:val="center"/>
                </w:tcPr>
                <w:p>
                  <w:pPr>
                    <w:pStyle w:val="82"/>
                    <w:spacing w:before="62"/>
                    <w:ind w:right="31"/>
                    <w:jc w:val="both"/>
                    <w:rPr>
                      <w:rFonts w:hint="default" w:ascii="Times New Roman" w:hAnsi="Times New Roman" w:eastAsia="仿宋" w:cs="Times New Roman"/>
                      <w:color w:val="auto"/>
                      <w:spacing w:val="5"/>
                      <w:sz w:val="21"/>
                      <w:szCs w:val="21"/>
                      <w:lang w:val="en-US"/>
                    </w:rPr>
                  </w:pPr>
                  <w:r>
                    <w:rPr>
                      <w:rFonts w:hint="eastAsia" w:ascii="Times New Roman" w:hAnsi="Times New Roman" w:eastAsia="仿宋" w:cs="Times New Roman"/>
                      <w:color w:val="auto"/>
                      <w:spacing w:val="5"/>
                      <w:sz w:val="21"/>
                      <w:szCs w:val="21"/>
                      <w:lang w:val="en-US" w:eastAsia="zh-CN"/>
                    </w:rPr>
                    <w:t>本项目为风力资源开发项目，已取得项目核准文件</w:t>
                  </w:r>
                </w:p>
              </w:tc>
              <w:tc>
                <w:tcPr>
                  <w:tcW w:w="482" w:type="pct"/>
                  <w:tcBorders>
                    <w:bottom w:val="single" w:color="auto" w:sz="12" w:space="0"/>
                    <w:right w:val="nil"/>
                  </w:tcBorders>
                  <w:noWrap w:val="0"/>
                  <w:vAlign w:val="center"/>
                </w:tcPr>
                <w:p>
                  <w:pPr>
                    <w:pStyle w:val="82"/>
                    <w:spacing w:before="62"/>
                    <w:ind w:right="31"/>
                    <w:jc w:val="center"/>
                    <w:rPr>
                      <w:rFonts w:hint="eastAsia" w:ascii="Times New Roman" w:hAnsi="Times New Roman" w:eastAsia="仿宋" w:cs="Times New Roman"/>
                      <w:color w:val="auto"/>
                      <w:spacing w:val="5"/>
                      <w:sz w:val="21"/>
                      <w:szCs w:val="21"/>
                      <w:lang w:val="en-US" w:eastAsia="zh-CN"/>
                    </w:rPr>
                  </w:pPr>
                  <w:r>
                    <w:rPr>
                      <w:rFonts w:hint="eastAsia" w:ascii="Times New Roman" w:hAnsi="Times New Roman" w:eastAsia="仿宋" w:cs="Times New Roman"/>
                      <w:color w:val="auto"/>
                      <w:spacing w:val="5"/>
                      <w:sz w:val="21"/>
                      <w:szCs w:val="21"/>
                      <w:lang w:val="en-US" w:eastAsia="zh-CN"/>
                    </w:rPr>
                    <w:t>符合</w:t>
                  </w:r>
                </w:p>
              </w:tc>
            </w:tr>
          </w:tbl>
          <w:p>
            <w:pPr>
              <w:adjustRightInd w:val="0"/>
              <w:spacing w:line="360" w:lineRule="auto"/>
              <w:jc w:val="center"/>
              <w:rPr>
                <w:rFonts w:hint="eastAsia" w:ascii="Times New Roman" w:hAnsi="Times New Roman" w:eastAsia="仿宋"/>
                <w:b/>
                <w:bCs/>
                <w:color w:val="auto"/>
                <w:sz w:val="21"/>
                <w:szCs w:val="21"/>
              </w:rPr>
            </w:pPr>
            <w:r>
              <w:rPr>
                <w:rFonts w:hint="eastAsia" w:ascii="Times New Roman" w:hAnsi="Times New Roman" w:eastAsia="仿宋"/>
                <w:b/>
                <w:bCs/>
                <w:color w:val="auto"/>
                <w:sz w:val="21"/>
                <w:szCs w:val="21"/>
              </w:rPr>
              <w:t>表1-</w:t>
            </w:r>
            <w:r>
              <w:rPr>
                <w:rFonts w:hint="eastAsia" w:eastAsia="仿宋"/>
                <w:b/>
                <w:bCs/>
                <w:color w:val="auto"/>
                <w:sz w:val="21"/>
                <w:szCs w:val="21"/>
                <w:lang w:val="en-US" w:eastAsia="zh-CN"/>
              </w:rPr>
              <w:t>3与</w:t>
            </w:r>
            <w:r>
              <w:rPr>
                <w:rFonts w:hint="eastAsia" w:ascii="Times New Roman" w:hAnsi="Times New Roman" w:eastAsia="仿宋"/>
                <w:b/>
                <w:bCs/>
                <w:color w:val="auto"/>
                <w:sz w:val="21"/>
                <w:szCs w:val="21"/>
              </w:rPr>
              <w:t>生态环境分区管控要求</w:t>
            </w:r>
            <w:r>
              <w:rPr>
                <w:rFonts w:hint="eastAsia" w:eastAsia="仿宋"/>
                <w:b/>
                <w:bCs/>
                <w:color w:val="auto"/>
                <w:sz w:val="21"/>
                <w:szCs w:val="21"/>
                <w:lang w:val="en-US" w:eastAsia="zh-CN"/>
              </w:rPr>
              <w:t>符合性</w:t>
            </w:r>
            <w:r>
              <w:rPr>
                <w:rFonts w:hint="eastAsia" w:ascii="Times New Roman" w:hAnsi="Times New Roman" w:eastAsia="仿宋"/>
                <w:b/>
                <w:bCs/>
                <w:color w:val="auto"/>
                <w:sz w:val="21"/>
                <w:szCs w:val="21"/>
              </w:rPr>
              <w:t>一览表</w:t>
            </w:r>
          </w:p>
          <w:tbl>
            <w:tblPr>
              <w:tblStyle w:val="21"/>
              <w:tblW w:w="4986" w:type="pct"/>
              <w:jc w:val="center"/>
              <w:tblBorders>
                <w:top w:val="single" w:color="auto" w:sz="4" w:space="0"/>
                <w:left w:val="none" w:color="auto" w:sz="0"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049"/>
              <w:gridCol w:w="3094"/>
              <w:gridCol w:w="730"/>
            </w:tblGrid>
            <w:tr>
              <w:tblPrEx>
                <w:tblBorders>
                  <w:top w:val="single" w:color="auto" w:sz="4"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op w:val="single" w:color="auto" w:sz="12" w:space="0"/>
                  </w:tcBorders>
                  <w:noWrap w:val="0"/>
                  <w:vAlign w:val="center"/>
                </w:tcPr>
                <w:p>
                  <w:pPr>
                    <w:pStyle w:val="82"/>
                    <w:spacing w:before="62"/>
                    <w:ind w:right="31"/>
                    <w:jc w:val="center"/>
                    <w:rPr>
                      <w:rFonts w:hint="eastAsia" w:ascii="Times New Roman" w:hAnsi="Times New Roman" w:eastAsia="仿宋" w:cs="Times New Roman"/>
                      <w:b/>
                      <w:bCs/>
                      <w:color w:val="auto"/>
                      <w:spacing w:val="5"/>
                      <w:sz w:val="21"/>
                      <w:szCs w:val="21"/>
                      <w:lang w:eastAsia="zh-CN"/>
                    </w:rPr>
                  </w:pPr>
                  <w:r>
                    <w:rPr>
                      <w:rFonts w:hint="eastAsia" w:ascii="Times New Roman" w:hAnsi="Times New Roman" w:eastAsia="仿宋" w:cs="Times New Roman"/>
                      <w:b/>
                      <w:bCs/>
                      <w:color w:val="auto"/>
                      <w:spacing w:val="5"/>
                      <w:sz w:val="21"/>
                      <w:szCs w:val="21"/>
                      <w:lang w:val="en-US" w:eastAsia="zh-CN"/>
                    </w:rPr>
                    <w:t>类型</w:t>
                  </w:r>
                </w:p>
              </w:tc>
              <w:tc>
                <w:tcPr>
                  <w:tcW w:w="2012" w:type="pct"/>
                  <w:tcBorders>
                    <w:top w:val="single" w:color="auto" w:sz="12" w:space="0"/>
                  </w:tcBorders>
                  <w:noWrap w:val="0"/>
                  <w:vAlign w:val="center"/>
                </w:tcPr>
                <w:p>
                  <w:pPr>
                    <w:pStyle w:val="82"/>
                    <w:spacing w:before="62"/>
                    <w:ind w:right="31"/>
                    <w:jc w:val="center"/>
                    <w:rPr>
                      <w:rFonts w:hint="default" w:ascii="Times New Roman" w:hAnsi="Times New Roman" w:eastAsia="仿宋" w:cs="Times New Roman"/>
                      <w:b/>
                      <w:bCs/>
                      <w:color w:val="auto"/>
                      <w:spacing w:val="5"/>
                      <w:sz w:val="21"/>
                      <w:szCs w:val="21"/>
                    </w:rPr>
                  </w:pPr>
                  <w:r>
                    <w:rPr>
                      <w:rFonts w:hint="default" w:ascii="Times New Roman" w:hAnsi="Times New Roman" w:eastAsia="仿宋" w:cs="Times New Roman"/>
                      <w:b/>
                      <w:bCs/>
                      <w:color w:val="auto"/>
                      <w:spacing w:val="5"/>
                      <w:sz w:val="21"/>
                      <w:szCs w:val="21"/>
                    </w:rPr>
                    <w:t>生态环境管控要求</w:t>
                  </w:r>
                </w:p>
              </w:tc>
              <w:tc>
                <w:tcPr>
                  <w:tcW w:w="2042" w:type="pct"/>
                  <w:tcBorders>
                    <w:top w:val="single" w:color="auto" w:sz="12" w:space="0"/>
                  </w:tcBorders>
                  <w:noWrap w:val="0"/>
                  <w:vAlign w:val="center"/>
                </w:tcPr>
                <w:p>
                  <w:pPr>
                    <w:pStyle w:val="82"/>
                    <w:spacing w:before="62"/>
                    <w:ind w:right="31"/>
                    <w:jc w:val="center"/>
                    <w:rPr>
                      <w:rFonts w:hint="default" w:ascii="Times New Roman" w:hAnsi="Times New Roman" w:eastAsia="仿宋" w:cs="Times New Roman"/>
                      <w:b/>
                      <w:bCs/>
                      <w:color w:val="auto"/>
                      <w:spacing w:val="5"/>
                      <w:sz w:val="21"/>
                      <w:szCs w:val="21"/>
                    </w:rPr>
                  </w:pPr>
                  <w:r>
                    <w:rPr>
                      <w:rFonts w:hint="default" w:ascii="Times New Roman" w:hAnsi="Times New Roman" w:eastAsia="仿宋" w:cs="Times New Roman"/>
                      <w:b/>
                      <w:bCs/>
                      <w:color w:val="auto"/>
                      <w:spacing w:val="5"/>
                      <w:sz w:val="21"/>
                      <w:szCs w:val="21"/>
                    </w:rPr>
                    <w:t>本项目实际情况</w:t>
                  </w:r>
                </w:p>
              </w:tc>
              <w:tc>
                <w:tcPr>
                  <w:tcW w:w="482" w:type="pct"/>
                  <w:tcBorders>
                    <w:top w:val="single" w:color="auto" w:sz="12" w:space="0"/>
                    <w:right w:val="nil"/>
                  </w:tcBorders>
                  <w:noWrap w:val="0"/>
                  <w:vAlign w:val="center"/>
                </w:tcPr>
                <w:p>
                  <w:pPr>
                    <w:pStyle w:val="82"/>
                    <w:spacing w:before="62"/>
                    <w:ind w:right="31"/>
                    <w:jc w:val="center"/>
                    <w:rPr>
                      <w:rFonts w:hint="default" w:ascii="Times New Roman" w:hAnsi="Times New Roman" w:eastAsia="仿宋" w:cs="Times New Roman"/>
                      <w:b/>
                      <w:bCs/>
                      <w:color w:val="auto"/>
                      <w:spacing w:val="5"/>
                      <w:sz w:val="21"/>
                      <w:szCs w:val="21"/>
                    </w:rPr>
                  </w:pPr>
                  <w:r>
                    <w:rPr>
                      <w:rFonts w:hint="default" w:ascii="Times New Roman" w:hAnsi="Times New Roman" w:eastAsia="仿宋" w:cs="Times New Roman"/>
                      <w:b/>
                      <w:bCs/>
                      <w:color w:val="auto"/>
                      <w:spacing w:val="5"/>
                      <w:sz w:val="21"/>
                      <w:szCs w:val="21"/>
                    </w:rPr>
                    <w:t>符合性</w:t>
                  </w:r>
                </w:p>
              </w:tc>
            </w:tr>
            <w:tr>
              <w:tblPrEx>
                <w:tblBorders>
                  <w:top w:val="single" w:color="auto" w:sz="4"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noWrap w:val="0"/>
                  <w:vAlign w:val="center"/>
                </w:tcPr>
                <w:p>
                  <w:pPr>
                    <w:pStyle w:val="82"/>
                    <w:spacing w:before="62"/>
                    <w:ind w:right="31"/>
                    <w:jc w:val="center"/>
                    <w:rPr>
                      <w:rFonts w:hint="default" w:ascii="Times New Roman" w:hAnsi="Times New Roman" w:eastAsia="仿宋" w:cs="Times New Roman"/>
                      <w:color w:val="auto"/>
                      <w:spacing w:val="5"/>
                      <w:sz w:val="21"/>
                      <w:szCs w:val="21"/>
                      <w:lang w:val="en-US" w:eastAsia="zh-CN"/>
                    </w:rPr>
                  </w:pPr>
                  <w:r>
                    <w:rPr>
                      <w:rFonts w:hint="eastAsia" w:ascii="Times New Roman" w:hAnsi="Times New Roman" w:eastAsia="仿宋" w:cs="Times New Roman"/>
                      <w:color w:val="auto"/>
                      <w:spacing w:val="5"/>
                      <w:sz w:val="21"/>
                      <w:szCs w:val="21"/>
                      <w:lang w:val="en-US" w:eastAsia="zh-CN"/>
                    </w:rPr>
                    <w:t>优先保护单元</w:t>
                  </w:r>
                </w:p>
              </w:tc>
              <w:tc>
                <w:tcPr>
                  <w:tcW w:w="2012" w:type="pct"/>
                  <w:noWrap w:val="0"/>
                  <w:vAlign w:val="center"/>
                </w:tcPr>
                <w:p>
                  <w:pPr>
                    <w:pStyle w:val="82"/>
                    <w:spacing w:before="62"/>
                    <w:ind w:right="31"/>
                    <w:jc w:val="both"/>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优先保护单元中，应以生态环境保护优先为原则，严格执行相关法律、法规要求，严守生态环境质量底线，确保生态环境功能不降低</w:t>
                  </w:r>
                  <w:r>
                    <w:rPr>
                      <w:rFonts w:hint="default" w:ascii="Times New Roman" w:hAnsi="Times New Roman" w:eastAsia="仿宋" w:cs="Times New Roman"/>
                      <w:color w:val="auto"/>
                      <w:spacing w:val="5"/>
                      <w:sz w:val="21"/>
                      <w:szCs w:val="21"/>
                      <w:lang w:eastAsia="zh-CN"/>
                    </w:rPr>
                    <w:t>。</w:t>
                  </w:r>
                </w:p>
              </w:tc>
              <w:tc>
                <w:tcPr>
                  <w:tcW w:w="2042" w:type="pct"/>
                  <w:noWrap w:val="0"/>
                  <w:vAlign w:val="center"/>
                </w:tcPr>
                <w:p>
                  <w:pPr>
                    <w:pStyle w:val="82"/>
                    <w:spacing w:before="62"/>
                    <w:ind w:right="31"/>
                    <w:jc w:val="center"/>
                    <w:rPr>
                      <w:rFonts w:hint="default" w:ascii="Times New Roman" w:hAnsi="Times New Roman" w:eastAsia="仿宋" w:cs="Times New Roman"/>
                      <w:color w:val="auto"/>
                      <w:spacing w:val="5"/>
                      <w:sz w:val="21"/>
                      <w:szCs w:val="21"/>
                      <w:lang w:val="en-US"/>
                    </w:rPr>
                  </w:pPr>
                  <w:r>
                    <w:rPr>
                      <w:rFonts w:hint="eastAsia" w:ascii="Times New Roman" w:hAnsi="Times New Roman" w:eastAsia="仿宋" w:cs="Times New Roman"/>
                      <w:color w:val="auto"/>
                      <w:spacing w:val="5"/>
                      <w:sz w:val="21"/>
                      <w:szCs w:val="21"/>
                      <w:lang w:val="en-US" w:eastAsia="zh-CN"/>
                    </w:rPr>
                    <w:t>本项目严格控制各类污染物的排放，</w:t>
                  </w:r>
                  <w:r>
                    <w:rPr>
                      <w:rFonts w:hint="default" w:ascii="Times New Roman" w:hAnsi="Times New Roman" w:eastAsia="仿宋" w:cs="Times New Roman"/>
                      <w:color w:val="auto"/>
                      <w:spacing w:val="5"/>
                      <w:sz w:val="21"/>
                      <w:szCs w:val="21"/>
                    </w:rPr>
                    <w:t>严守生态环境质量底线</w:t>
                  </w:r>
                </w:p>
              </w:tc>
              <w:tc>
                <w:tcPr>
                  <w:tcW w:w="482" w:type="pct"/>
                  <w:tcBorders>
                    <w:right w:val="nil"/>
                  </w:tcBorders>
                  <w:noWrap w:val="0"/>
                  <w:vAlign w:val="center"/>
                </w:tcPr>
                <w:p>
                  <w:pPr>
                    <w:pStyle w:val="82"/>
                    <w:spacing w:before="62"/>
                    <w:ind w:right="31"/>
                    <w:jc w:val="center"/>
                    <w:rPr>
                      <w:rFonts w:hint="default" w:ascii="Times New Roman" w:hAnsi="Times New Roman" w:eastAsia="仿宋" w:cs="Times New Roman"/>
                      <w:color w:val="auto"/>
                      <w:spacing w:val="5"/>
                      <w:sz w:val="21"/>
                      <w:szCs w:val="21"/>
                    </w:rPr>
                  </w:pPr>
                  <w:r>
                    <w:rPr>
                      <w:rFonts w:hint="default" w:ascii="Times New Roman" w:hAnsi="Times New Roman" w:eastAsia="仿宋" w:cs="Times New Roman"/>
                      <w:color w:val="auto"/>
                      <w:spacing w:val="5"/>
                      <w:sz w:val="21"/>
                      <w:szCs w:val="21"/>
                    </w:rPr>
                    <w:t>符合</w:t>
                  </w:r>
                </w:p>
              </w:tc>
            </w:tr>
          </w:tbl>
          <w:p>
            <w:pPr>
              <w:adjustRightInd w:val="0"/>
              <w:spacing w:line="360" w:lineRule="auto"/>
              <w:ind w:firstLine="480" w:firstLineChars="200"/>
              <w:rPr>
                <w:rFonts w:hint="eastAsia" w:ascii="Times New Roman" w:hAnsi="Times New Roman" w:eastAsia="仿宋"/>
                <w:color w:val="auto"/>
                <w:sz w:val="24"/>
              </w:rPr>
            </w:pPr>
            <w:r>
              <w:rPr>
                <w:rFonts w:hint="eastAsia" w:ascii="Times New Roman" w:hAnsi="Times New Roman" w:eastAsia="仿宋"/>
                <w:color w:val="auto"/>
                <w:sz w:val="24"/>
              </w:rPr>
              <w:t>综上，本项目符合《巴中市生态环境保护委员会办公室关于加强生态环境分区管控的通知》（巴环委办〔2024〕3号）中</w:t>
            </w:r>
            <w:r>
              <w:rPr>
                <w:rFonts w:hint="eastAsia" w:eastAsia="仿宋"/>
                <w:color w:val="auto"/>
                <w:sz w:val="24"/>
                <w:lang w:val="en-US" w:eastAsia="zh-CN"/>
              </w:rPr>
              <w:t>生态环境分区</w:t>
            </w:r>
            <w:r>
              <w:rPr>
                <w:rFonts w:hint="eastAsia" w:ascii="Times New Roman" w:hAnsi="Times New Roman" w:eastAsia="仿宋"/>
                <w:color w:val="auto"/>
                <w:sz w:val="24"/>
              </w:rPr>
              <w:t>管控要求。同时，根据《国家发展改革委、商务部关于印发&lt;市场准入负面清单(2022年版)&gt;的通知》（发改体改规〔2022〕397号），本项目属于市场准入负面清单中规定的许可准入类项目。</w:t>
            </w:r>
          </w:p>
          <w:p>
            <w:pPr>
              <w:adjustRightInd w:val="0"/>
              <w:spacing w:line="360" w:lineRule="auto"/>
              <w:ind w:firstLine="480" w:firstLineChars="200"/>
              <w:rPr>
                <w:rFonts w:hint="eastAsia" w:ascii="Times New Roman" w:hAnsi="Times New Roman" w:eastAsia="仿宋"/>
                <w:color w:val="auto"/>
                <w:sz w:val="24"/>
              </w:rPr>
            </w:pPr>
            <w:r>
              <w:rPr>
                <w:rFonts w:hint="eastAsia" w:ascii="Times New Roman" w:hAnsi="Times New Roman" w:eastAsia="仿宋"/>
                <w:color w:val="auto"/>
                <w:sz w:val="24"/>
              </w:rPr>
              <w:t>经查询“三线一单”符合性分析系统，本项目位于巴中市南江县环境综合管控单元优先保护单元（光雾山—诺水河国家级风景名胜区、神门风景名胜区、四川大小兰沟自然保护区、四川光雾山自然保护区、四川米仓山国家级自然保护区、焦家河重口裂腹鱼国家级水产种质资源保护区、方田坝—二郎庙水库集中式饮用水水源地、南江县金台水库集中式饮用水源地、方田坝—二郎庙水库集中式饮用水水源地（跨区县）、四川米仓山国家级森林公园、生态功能重要区-水土保持功能重要区、四川米仓山国家森林公园，管控单元编号：ZH51192210001）。项目与管控单元相对位置如下图所示：</w:t>
            </w:r>
          </w:p>
          <w:p>
            <w:pPr>
              <w:adjustRightInd w:val="0"/>
              <w:spacing w:line="360" w:lineRule="auto"/>
              <w:ind w:left="0" w:leftChars="0" w:firstLine="0" w:firstLineChars="0"/>
              <w:jc w:val="center"/>
              <w:rPr>
                <w:rFonts w:hint="eastAsia" w:ascii="Times New Roman" w:hAnsi="Times New Roman" w:eastAsia="仿宋"/>
                <w:color w:val="auto"/>
                <w:sz w:val="24"/>
                <w:lang w:eastAsia="zh-CN"/>
              </w:rPr>
            </w:pPr>
            <w:r>
              <w:rPr>
                <w:rFonts w:hint="eastAsia" w:ascii="Times New Roman" w:hAnsi="Times New Roman" w:eastAsia="仿宋"/>
                <w:color w:val="auto"/>
                <w:sz w:val="24"/>
                <w:lang w:eastAsia="zh-CN"/>
              </w:rPr>
              <w:drawing>
                <wp:inline distT="0" distB="0" distL="114300" distR="114300">
                  <wp:extent cx="4372610" cy="3547745"/>
                  <wp:effectExtent l="0" t="0" r="8890" b="14605"/>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9"/>
                          <a:stretch>
                            <a:fillRect/>
                          </a:stretch>
                        </pic:blipFill>
                        <pic:spPr>
                          <a:xfrm>
                            <a:off x="0" y="0"/>
                            <a:ext cx="4372610" cy="3547745"/>
                          </a:xfrm>
                          <a:prstGeom prst="rect">
                            <a:avLst/>
                          </a:prstGeom>
                        </pic:spPr>
                      </pic:pic>
                    </a:graphicData>
                  </a:graphic>
                </wp:inline>
              </w:drawing>
            </w:r>
          </w:p>
          <w:p>
            <w:pPr>
              <w:adjustRightInd w:val="0"/>
              <w:spacing w:line="360" w:lineRule="auto"/>
              <w:ind w:left="0" w:leftChars="0" w:firstLine="0" w:firstLineChars="0"/>
              <w:jc w:val="center"/>
              <w:rPr>
                <w:rFonts w:hint="default" w:ascii="Times New Roman" w:hAnsi="Times New Roman" w:eastAsia="仿宋"/>
                <w:color w:val="auto"/>
                <w:sz w:val="24"/>
                <w:lang w:val="en-US" w:eastAsia="zh-CN"/>
              </w:rPr>
            </w:pPr>
            <w:r>
              <w:rPr>
                <w:rFonts w:hint="eastAsia" w:eastAsia="仿宋"/>
                <w:b/>
                <w:bCs/>
                <w:color w:val="auto"/>
                <w:sz w:val="21"/>
                <w:szCs w:val="21"/>
                <w:lang w:val="en-US" w:eastAsia="zh-CN"/>
              </w:rPr>
              <w:t>图1-2 三线一单符合性分析查询结果图</w:t>
            </w:r>
          </w:p>
          <w:p>
            <w:pPr>
              <w:jc w:val="center"/>
              <w:rPr>
                <w:rFonts w:hint="default" w:ascii="Helvetica" w:hAnsi="Helvetica" w:eastAsia="Helvetica"/>
                <w:sz w:val="28"/>
                <w:szCs w:val="24"/>
              </w:rPr>
            </w:pPr>
            <w:r>
              <w:rPr>
                <w:sz w:val="21"/>
              </w:rPr>
              <mc:AlternateContent>
                <mc:Choice Requires="wps">
                  <w:drawing>
                    <wp:anchor distT="0" distB="0" distL="114300" distR="114300" simplePos="0" relativeHeight="251663360" behindDoc="0" locked="0" layoutInCell="1" allowOverlap="1">
                      <wp:simplePos x="0" y="0"/>
                      <wp:positionH relativeFrom="column">
                        <wp:posOffset>2402205</wp:posOffset>
                      </wp:positionH>
                      <wp:positionV relativeFrom="paragraph">
                        <wp:posOffset>2055495</wp:posOffset>
                      </wp:positionV>
                      <wp:extent cx="936625" cy="245745"/>
                      <wp:effectExtent l="5080" t="5080" r="10795" b="320675"/>
                      <wp:wrapNone/>
                      <wp:docPr id="17" name="圆角矩形标注 17"/>
                      <wp:cNvGraphicFramePr/>
                      <a:graphic xmlns:a="http://schemas.openxmlformats.org/drawingml/2006/main">
                        <a:graphicData uri="http://schemas.microsoft.com/office/word/2010/wordprocessingShape">
                          <wps:wsp>
                            <wps:cNvSpPr/>
                            <wps:spPr>
                              <a:xfrm>
                                <a:off x="0" y="0"/>
                                <a:ext cx="936625" cy="245745"/>
                              </a:xfrm>
                              <a:prstGeom prst="wedgeRoundRectCallout">
                                <a:avLst>
                                  <a:gd name="adj1" fmla="val 13728"/>
                                  <a:gd name="adj2" fmla="val 172222"/>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sz w:val="16"/>
                                      <w:szCs w:val="20"/>
                                      <w:lang w:val="en-US" w:eastAsia="zh-CN"/>
                                      <w14:textFill>
                                        <w14:solidFill>
                                          <w14:schemeClr w14:val="tx1"/>
                                        </w14:solidFill>
                                      </w14:textFill>
                                    </w:rPr>
                                  </w:pPr>
                                  <w:r>
                                    <w:rPr>
                                      <w:rFonts w:hint="eastAsia"/>
                                      <w:color w:val="000000" w:themeColor="text1"/>
                                      <w:sz w:val="16"/>
                                      <w:szCs w:val="20"/>
                                      <w:lang w:val="en-US" w:eastAsia="zh-CN"/>
                                      <w14:textFill>
                                        <w14:solidFill>
                                          <w14:schemeClr w14:val="tx1"/>
                                        </w14:solidFill>
                                      </w14:textFill>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9.15pt;margin-top:161.85pt;height:19.35pt;width:73.75pt;z-index:251663360;v-text-anchor:middle;mso-width-relative:page;mso-height-relative:page;" fillcolor="#FFFFFF [3212]" filled="t" stroked="t" coordsize="21600,21600" o:gfxdata="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vB0VOd0AAAAL&#10;AQAADwAAAAAAAAABACAAAAAiAAAAZHJzL2Rvd25yZXYueG1sUEsBAhQAFAAAAAgAh07iQLRfP5DC&#10;AgAAkgUAAA4AAAAAAAAAAQAgAAAALAEAAGRycy9lMm9Eb2MueG1sUEsFBgAAAAAGAAYAWQEAAGAG&#10;AAAAAA==&#10;" adj="13765,48000,14400">
                      <v:fill on="t" focussize="0,0"/>
                      <v:stroke weight="0.5pt" color="#000000 [3213]" miterlimit="8" joinstyle="miter"/>
                      <v:imagedata o:title=""/>
                      <o:lock v:ext="edit" aspectratio="f"/>
                      <v:textbox>
                        <w:txbxContent>
                          <w:p>
                            <w:pPr>
                              <w:jc w:val="center"/>
                              <w:rPr>
                                <w:rFonts w:hint="default" w:eastAsia="宋体"/>
                                <w:color w:val="000000" w:themeColor="text1"/>
                                <w:sz w:val="16"/>
                                <w:szCs w:val="20"/>
                                <w:lang w:val="en-US" w:eastAsia="zh-CN"/>
                                <w14:textFill>
                                  <w14:solidFill>
                                    <w14:schemeClr w14:val="tx1"/>
                                  </w14:solidFill>
                                </w14:textFill>
                              </w:rPr>
                            </w:pPr>
                            <w:r>
                              <w:rPr>
                                <w:rFonts w:hint="eastAsia"/>
                                <w:color w:val="000000" w:themeColor="text1"/>
                                <w:sz w:val="16"/>
                                <w:szCs w:val="20"/>
                                <w:lang w:val="en-US" w:eastAsia="zh-CN"/>
                                <w14:textFill>
                                  <w14:solidFill>
                                    <w14:schemeClr w14:val="tx1"/>
                                  </w14:solidFill>
                                </w14:textFill>
                              </w:rPr>
                              <w:t>本项目所在位置</w:t>
                            </w:r>
                          </w:p>
                        </w:txbxContent>
                      </v:textbox>
                    </v:shape>
                  </w:pict>
                </mc:Fallback>
              </mc:AlternateContent>
            </w:r>
            <w:r>
              <w:rPr>
                <w:rFonts w:hint="default" w:ascii="Helvetica" w:hAnsi="Helvetica" w:eastAsia="Helvetica"/>
                <w:sz w:val="28"/>
                <w:szCs w:val="24"/>
              </w:rPr>
              <w:drawing>
                <wp:inline distT="0" distB="0" distL="114300" distR="114300">
                  <wp:extent cx="4319905" cy="3054985"/>
                  <wp:effectExtent l="0" t="0" r="4445"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4319905" cy="3054985"/>
                          </a:xfrm>
                          <a:prstGeom prst="rect">
                            <a:avLst/>
                          </a:prstGeom>
                          <a:noFill/>
                          <a:ln>
                            <a:noFill/>
                          </a:ln>
                        </pic:spPr>
                      </pic:pic>
                    </a:graphicData>
                  </a:graphic>
                </wp:inline>
              </w:drawing>
            </w:r>
          </w:p>
          <w:p>
            <w:pPr>
              <w:pStyle w:val="14"/>
              <w:rPr>
                <w:rFonts w:hint="eastAsia" w:eastAsia="仿宋"/>
                <w:b/>
                <w:bCs/>
                <w:color w:val="auto"/>
                <w:sz w:val="21"/>
                <w:szCs w:val="21"/>
                <w:lang w:val="en-US" w:eastAsia="zh-CN"/>
              </w:rPr>
            </w:pPr>
            <w:r>
              <w:rPr>
                <w:rFonts w:hint="eastAsia" w:eastAsia="仿宋"/>
                <w:b/>
                <w:bCs/>
                <w:color w:val="auto"/>
                <w:sz w:val="21"/>
                <w:szCs w:val="21"/>
                <w:lang w:val="en-US" w:eastAsia="zh-CN"/>
              </w:rPr>
              <w:t xml:space="preserve"> 图1-3 三线一单符合性分析查询结果图</w:t>
            </w:r>
          </w:p>
          <w:p>
            <w:pPr>
              <w:pStyle w:val="14"/>
              <w:rPr>
                <w:rFonts w:hint="eastAsia" w:eastAsia="仿宋"/>
                <w:b/>
                <w:bCs/>
                <w:color w:val="auto"/>
                <w:sz w:val="21"/>
                <w:szCs w:val="21"/>
                <w:lang w:val="en-US" w:eastAsia="zh-CN"/>
              </w:rPr>
            </w:pPr>
          </w:p>
          <w:p>
            <w:pPr>
              <w:pStyle w:val="14"/>
              <w:rPr>
                <w:rFonts w:hint="eastAsia" w:eastAsia="仿宋"/>
                <w:b/>
                <w:bCs/>
                <w:color w:val="auto"/>
                <w:sz w:val="21"/>
                <w:szCs w:val="21"/>
                <w:lang w:val="en-US" w:eastAsia="zh-CN"/>
              </w:rPr>
            </w:pPr>
          </w:p>
          <w:p>
            <w:pPr>
              <w:pStyle w:val="14"/>
              <w:rPr>
                <w:rFonts w:hint="eastAsia"/>
              </w:rPr>
            </w:pPr>
          </w:p>
          <w:p>
            <w:pPr>
              <w:jc w:val="center"/>
              <w:rPr>
                <w:rFonts w:hint="default"/>
                <w:lang w:val="en-US"/>
              </w:rPr>
            </w:pPr>
            <w:r>
              <w:rPr>
                <w:rFonts w:hint="eastAsia" w:eastAsia="仿宋"/>
                <w:b/>
                <w:bCs/>
                <w:color w:val="auto"/>
                <w:sz w:val="21"/>
                <w:szCs w:val="21"/>
                <w:lang w:val="en-US" w:eastAsia="zh-CN"/>
              </w:rPr>
              <w:t>表1-4 项目涉及环境管控单元表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2391"/>
              <w:gridCol w:w="935"/>
              <w:gridCol w:w="979"/>
              <w:gridCol w:w="640"/>
              <w:gridCol w:w="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324" w:type="pct"/>
                  <w:noWrap w:val="0"/>
                  <w:vAlign w:val="center"/>
                </w:tcPr>
                <w:p>
                  <w:pPr>
                    <w:widowControl/>
                    <w:spacing w:line="240" w:lineRule="auto"/>
                    <w:ind w:firstLine="0" w:firstLineChars="0"/>
                    <w:jc w:val="center"/>
                    <w:rPr>
                      <w:rStyle w:val="23"/>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 w:val="21"/>
                      <w:szCs w:val="21"/>
                      <w:lang w:val="en-US" w:eastAsia="zh-CN" w:bidi="ar-SA"/>
                    </w:rPr>
                    <w:t>环境管控单元编码</w:t>
                  </w:r>
                </w:p>
              </w:tc>
              <w:tc>
                <w:tcPr>
                  <w:tcW w:w="1573" w:type="pct"/>
                  <w:noWrap w:val="0"/>
                  <w:vAlign w:val="center"/>
                </w:tcPr>
                <w:p>
                  <w:pPr>
                    <w:widowControl/>
                    <w:spacing w:line="240" w:lineRule="auto"/>
                    <w:ind w:firstLine="0" w:firstLineChars="0"/>
                    <w:jc w:val="center"/>
                    <w:rPr>
                      <w:rStyle w:val="23"/>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 w:val="21"/>
                      <w:szCs w:val="21"/>
                      <w:lang w:val="en-US" w:eastAsia="zh-CN" w:bidi="ar-SA"/>
                    </w:rPr>
                    <w:t>环境管控单元名称</w:t>
                  </w:r>
                </w:p>
              </w:tc>
              <w:tc>
                <w:tcPr>
                  <w:tcW w:w="615" w:type="pct"/>
                  <w:noWrap w:val="0"/>
                  <w:vAlign w:val="center"/>
                </w:tcPr>
                <w:p>
                  <w:pPr>
                    <w:widowControl/>
                    <w:spacing w:line="240" w:lineRule="auto"/>
                    <w:ind w:firstLine="0" w:firstLineChars="0"/>
                    <w:jc w:val="center"/>
                    <w:rPr>
                      <w:rStyle w:val="23"/>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 w:val="21"/>
                      <w:szCs w:val="21"/>
                      <w:lang w:val="en-US" w:eastAsia="zh-CN" w:bidi="ar-SA"/>
                    </w:rPr>
                    <w:t>所属市（州）</w:t>
                  </w:r>
                </w:p>
              </w:tc>
              <w:tc>
                <w:tcPr>
                  <w:tcW w:w="644" w:type="pct"/>
                  <w:noWrap w:val="0"/>
                  <w:vAlign w:val="center"/>
                </w:tcPr>
                <w:p>
                  <w:pPr>
                    <w:widowControl/>
                    <w:spacing w:line="240" w:lineRule="auto"/>
                    <w:ind w:firstLine="0" w:firstLineChars="0"/>
                    <w:jc w:val="center"/>
                    <w:rPr>
                      <w:rStyle w:val="23"/>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 w:val="21"/>
                      <w:szCs w:val="21"/>
                      <w:lang w:val="en-US" w:eastAsia="zh-CN" w:bidi="ar-SA"/>
                    </w:rPr>
                    <w:t>所属区县</w:t>
                  </w:r>
                </w:p>
              </w:tc>
              <w:tc>
                <w:tcPr>
                  <w:tcW w:w="421" w:type="pct"/>
                  <w:noWrap w:val="0"/>
                  <w:vAlign w:val="center"/>
                </w:tcPr>
                <w:p>
                  <w:pPr>
                    <w:widowControl/>
                    <w:spacing w:line="240" w:lineRule="auto"/>
                    <w:ind w:firstLine="0" w:firstLineChars="0"/>
                    <w:jc w:val="center"/>
                    <w:rPr>
                      <w:rStyle w:val="23"/>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 w:val="21"/>
                      <w:szCs w:val="21"/>
                      <w:lang w:val="en-US" w:eastAsia="zh-CN" w:bidi="ar-SA"/>
                    </w:rPr>
                    <w:t>准入清单类型</w:t>
                  </w:r>
                </w:p>
              </w:tc>
              <w:tc>
                <w:tcPr>
                  <w:tcW w:w="421" w:type="pct"/>
                  <w:noWrap w:val="0"/>
                  <w:vAlign w:val="center"/>
                </w:tcPr>
                <w:p>
                  <w:pPr>
                    <w:widowControl/>
                    <w:spacing w:line="240" w:lineRule="auto"/>
                    <w:ind w:firstLine="0" w:firstLineChars="0"/>
                    <w:jc w:val="center"/>
                    <w:rPr>
                      <w:rStyle w:val="23"/>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 w:val="21"/>
                      <w:szCs w:val="21"/>
                      <w:lang w:val="en-US" w:eastAsia="zh-CN" w:bidi="ar-SA"/>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32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YS5119221130009</w:t>
                  </w:r>
                </w:p>
              </w:tc>
              <w:tc>
                <w:tcPr>
                  <w:tcW w:w="1573"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生态优先保护区（一般生态空间）9</w:t>
                  </w:r>
                </w:p>
              </w:tc>
              <w:tc>
                <w:tcPr>
                  <w:tcW w:w="615"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巴中市</w:t>
                  </w:r>
                </w:p>
              </w:tc>
              <w:tc>
                <w:tcPr>
                  <w:tcW w:w="64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南江县</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生态空间分区</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生态空间分区一般生态空间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32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YS5119222320001</w:t>
                  </w:r>
                </w:p>
              </w:tc>
              <w:tc>
                <w:tcPr>
                  <w:tcW w:w="1573"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南江县大气环境布局敏感重点管控区</w:t>
                  </w:r>
                </w:p>
              </w:tc>
              <w:tc>
                <w:tcPr>
                  <w:tcW w:w="615"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巴中市</w:t>
                  </w:r>
                </w:p>
              </w:tc>
              <w:tc>
                <w:tcPr>
                  <w:tcW w:w="64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南江县</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大气环境管控分区</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大气环境布局敏感重点管控区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32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YS5119223210003</w:t>
                  </w:r>
                </w:p>
              </w:tc>
              <w:tc>
                <w:tcPr>
                  <w:tcW w:w="1573"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南江河-南江县-元潭-控制单元</w:t>
                  </w:r>
                </w:p>
              </w:tc>
              <w:tc>
                <w:tcPr>
                  <w:tcW w:w="615"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巴中市</w:t>
                  </w:r>
                </w:p>
              </w:tc>
              <w:tc>
                <w:tcPr>
                  <w:tcW w:w="64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南江县</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水环境管控分区</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水环境一般管控区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32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ZH51192210001</w:t>
                  </w:r>
                </w:p>
              </w:tc>
              <w:tc>
                <w:tcPr>
                  <w:tcW w:w="1573"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光雾山—诺水河国家级风景名胜区、神门风景名胜区、四川大小兰沟自然保护区、四川光雾山自然保护区、四川米仓山国家级自然保护区、焦家河重口裂腹鱼国家级水产种质资源保护区、方田坝—二郎庙水库集中式饮用水水源地、南江县金台水库集中式饮用水源地、方田坝—二郎庙水库集中式饮用水水源地（跨区县）、四川米仓山国家级森林公园、生态功能重要区-水土保持功能重要区、四川米仓山国家森林公园</w:t>
                  </w:r>
                </w:p>
              </w:tc>
              <w:tc>
                <w:tcPr>
                  <w:tcW w:w="615"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巴中市</w:t>
                  </w:r>
                </w:p>
              </w:tc>
              <w:tc>
                <w:tcPr>
                  <w:tcW w:w="644"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南江县</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环境综合管控单元</w:t>
                  </w:r>
                </w:p>
              </w:tc>
              <w:tc>
                <w:tcPr>
                  <w:tcW w:w="421" w:type="pct"/>
                  <w:noWrap w:val="0"/>
                  <w:vAlign w:val="center"/>
                </w:tcPr>
                <w:p>
                  <w:pPr>
                    <w:pStyle w:val="86"/>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环境综合管控单元优先保护单元</w:t>
                  </w:r>
                </w:p>
              </w:tc>
            </w:tr>
          </w:tbl>
          <w:p>
            <w:pPr>
              <w:adjustRightInd w:val="0"/>
              <w:spacing w:line="360" w:lineRule="auto"/>
              <w:ind w:firstLine="480" w:firstLineChars="200"/>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本项目位于南江县</w:t>
            </w:r>
            <w:r>
              <w:rPr>
                <w:rFonts w:hint="eastAsia" w:ascii="Times New Roman" w:hAnsi="Times New Roman" w:eastAsia="仿宋" w:cs="Times New Roman"/>
                <w:color w:val="auto"/>
                <w:sz w:val="24"/>
                <w:lang w:val="en-US" w:eastAsia="zh-CN"/>
              </w:rPr>
              <w:t>大河镇、高桥镇</w:t>
            </w:r>
            <w:r>
              <w:rPr>
                <w:rFonts w:hint="eastAsia" w:ascii="Times New Roman" w:hAnsi="Times New Roman" w:eastAsia="仿宋" w:cs="Times New Roman"/>
                <w:color w:val="auto"/>
                <w:sz w:val="24"/>
              </w:rPr>
              <w:t>，属于</w:t>
            </w:r>
            <w:r>
              <w:rPr>
                <w:rFonts w:hint="eastAsia" w:ascii="Times New Roman" w:hAnsi="Times New Roman" w:eastAsia="仿宋" w:cs="Times New Roman"/>
                <w:color w:val="auto"/>
                <w:sz w:val="24"/>
                <w:lang w:val="en-US" w:eastAsia="zh-CN"/>
              </w:rPr>
              <w:t>风力发电项目</w:t>
            </w:r>
            <w:r>
              <w:rPr>
                <w:rFonts w:hint="eastAsia" w:ascii="Times New Roman" w:hAnsi="Times New Roman" w:eastAsia="仿宋" w:cs="Times New Roman"/>
                <w:color w:val="auto"/>
                <w:sz w:val="24"/>
              </w:rPr>
              <w:t>，本次评价分别从空间布局约束、污染物排放管控、环境风险防控、资源开发利用效率四个维度对本项目的符合性进行分析，其符合性分析情况如下。</w:t>
            </w:r>
          </w:p>
          <w:p>
            <w:pPr>
              <w:rPr>
                <w:rFonts w:hint="eastAsia"/>
              </w:rPr>
            </w:pPr>
          </w:p>
          <w:p>
            <w:pPr>
              <w:rPr>
                <w:rFonts w:hint="eastAsia"/>
              </w:rPr>
            </w:pPr>
          </w:p>
          <w:p>
            <w:pPr>
              <w:autoSpaceDE w:val="0"/>
              <w:autoSpaceDN w:val="0"/>
              <w:adjustRightInd w:val="0"/>
              <w:snapToGrid w:val="0"/>
              <w:spacing w:line="360" w:lineRule="auto"/>
              <w:rPr>
                <w:rFonts w:hint="default" w:ascii="Times New Roman" w:hAnsi="Times New Roman" w:eastAsia="仿宋" w:cs="Times New Roman"/>
                <w:color w:val="auto"/>
                <w:kern w:val="0"/>
                <w:sz w:val="24"/>
              </w:rPr>
            </w:pPr>
          </w:p>
        </w:tc>
      </w:tr>
    </w:tbl>
    <w:p>
      <w:pPr>
        <w:spacing w:line="360" w:lineRule="auto"/>
        <w:outlineLvl w:val="0"/>
        <w:rPr>
          <w:rFonts w:hint="default" w:ascii="Times New Roman" w:hAnsi="Times New Roman" w:eastAsia="仿宋" w:cs="Times New Roman"/>
          <w:color w:val="auto"/>
          <w:sz w:val="30"/>
        </w:rPr>
        <w:sectPr>
          <w:footerReference r:id="rId6" w:type="default"/>
          <w:pgSz w:w="11906" w:h="16838"/>
          <w:pgMar w:top="1701" w:right="1531" w:bottom="1701" w:left="1531" w:header="851" w:footer="1077" w:gutter="0"/>
          <w:pgNumType w:start="1"/>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vAlign w:val="center"/>
          </w:tcPr>
          <w:p>
            <w:pPr>
              <w:spacing w:line="360" w:lineRule="auto"/>
              <w:outlineLvl w:val="0"/>
              <w:rPr>
                <w:rFonts w:hint="default" w:ascii="Times New Roman" w:hAnsi="Times New Roman" w:eastAsia="仿宋" w:cs="Times New Roman"/>
                <w:color w:val="auto"/>
                <w:sz w:val="30"/>
                <w:vertAlign w:val="baseline"/>
              </w:rPr>
            </w:pPr>
            <w:r>
              <w:rPr>
                <w:rFonts w:hint="default" w:ascii="Times New Roman" w:hAnsi="Times New Roman" w:eastAsia="仿宋" w:cs="Times New Roman"/>
                <w:color w:val="auto"/>
                <w:kern w:val="0"/>
                <w:sz w:val="24"/>
              </w:rPr>
              <w:t>其他符合性分析</w:t>
            </w:r>
          </w:p>
        </w:tc>
        <w:tc>
          <w:tcPr>
            <w:tcW w:w="11663" w:type="dxa"/>
          </w:tcPr>
          <w:p>
            <w:pPr>
              <w:jc w:val="center"/>
              <w:rPr>
                <w:rFonts w:hint="default"/>
                <w:lang w:val="en-US"/>
              </w:rPr>
            </w:pPr>
            <w:r>
              <w:rPr>
                <w:rFonts w:hint="eastAsia" w:eastAsia="仿宋"/>
                <w:b/>
                <w:bCs/>
                <w:color w:val="auto"/>
                <w:sz w:val="21"/>
                <w:szCs w:val="21"/>
                <w:lang w:val="en-US" w:eastAsia="zh-CN"/>
              </w:rPr>
              <w:t>表1-5 项目与“三线一单”相关要求的符合性分析表</w:t>
            </w:r>
          </w:p>
          <w:tbl>
            <w:tblPr>
              <w:tblStyle w:val="2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4451"/>
              <w:gridCol w:w="788"/>
              <w:gridCol w:w="3025"/>
              <w:gridCol w:w="1277"/>
              <w:gridCol w:w="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Fonts w:hint="default" w:ascii="Times New Roman" w:hAnsi="Times New Roman" w:eastAsia="仿宋" w:cs="Times New Roman"/>
                      <w:b/>
                      <w:bCs/>
                      <w:color w:val="000000"/>
                      <w:kern w:val="0"/>
                      <w:sz w:val="21"/>
                      <w:szCs w:val="21"/>
                      <w:lang w:val="en-US" w:eastAsia="zh-CN" w:bidi="ar-SA"/>
                    </w:rPr>
                    <w:t>环境管控单元名称</w:t>
                  </w:r>
                </w:p>
              </w:tc>
              <w:tc>
                <w:tcPr>
                  <w:tcW w:w="1945" w:type="pct"/>
                  <w:vAlign w:val="center"/>
                </w:tcPr>
                <w:p>
                  <w:pPr>
                    <w:pStyle w:val="87"/>
                    <w:widowControl w:val="0"/>
                    <w:spacing w:line="240" w:lineRule="auto"/>
                    <w:ind w:firstLine="0" w:firstLineChars="0"/>
                    <w:jc w:val="both"/>
                    <w:rPr>
                      <w:rFonts w:hint="default" w:ascii="Times New Roman" w:hAnsi="Times New Roman" w:eastAsia="仿宋" w:cs="Times New Roman"/>
                      <w:sz w:val="21"/>
                      <w:szCs w:val="21"/>
                      <w:vertAlign w:val="baseline"/>
                    </w:rPr>
                  </w:pPr>
                  <w:r>
                    <w:rPr>
                      <w:rFonts w:hint="default" w:ascii="Times New Roman" w:hAnsi="Times New Roman" w:eastAsia="仿宋" w:cs="Times New Roman"/>
                      <w:b/>
                      <w:bCs/>
                      <w:color w:val="000000"/>
                      <w:kern w:val="0"/>
                      <w:sz w:val="21"/>
                      <w:szCs w:val="21"/>
                      <w:lang w:val="en-US" w:eastAsia="zh-CN" w:bidi="ar-SA"/>
                    </w:rPr>
                    <w:t>巴中市普适性清单</w:t>
                  </w: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Fonts w:hint="default" w:ascii="Times New Roman" w:hAnsi="Times New Roman" w:eastAsia="仿宋" w:cs="Times New Roman"/>
                      <w:b/>
                      <w:bCs/>
                      <w:color w:val="000000"/>
                      <w:kern w:val="0"/>
                      <w:sz w:val="21"/>
                      <w:szCs w:val="21"/>
                      <w:lang w:val="en-US" w:eastAsia="zh-CN" w:bidi="ar-SA"/>
                    </w:rPr>
                    <w:t>管控类别</w:t>
                  </w:r>
                </w:p>
              </w:tc>
              <w:tc>
                <w:tcPr>
                  <w:tcW w:w="1322" w:type="pct"/>
                  <w:vAlign w:val="center"/>
                </w:tcPr>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Fonts w:hint="default" w:ascii="Times New Roman" w:hAnsi="Times New Roman" w:eastAsia="仿宋" w:cs="Times New Roman"/>
                      <w:b/>
                      <w:bCs/>
                      <w:color w:val="000000"/>
                      <w:kern w:val="0"/>
                      <w:sz w:val="21"/>
                      <w:szCs w:val="21"/>
                      <w:lang w:val="en-US" w:eastAsia="zh-CN" w:bidi="ar-SA"/>
                    </w:rPr>
                    <w:t>单元特性管控要求</w:t>
                  </w:r>
                </w:p>
              </w:tc>
              <w:tc>
                <w:tcPr>
                  <w:tcW w:w="558" w:type="pct"/>
                  <w:vAlign w:val="center"/>
                </w:tcPr>
                <w:p>
                  <w:pPr>
                    <w:pStyle w:val="87"/>
                    <w:widowControl/>
                    <w:shd w:val="clear" w:color="auto" w:fill="FFFFFF"/>
                    <w:spacing w:line="240" w:lineRule="auto"/>
                    <w:ind w:firstLine="0" w:firstLineChars="0"/>
                    <w:jc w:val="center"/>
                    <w:rPr>
                      <w:rFonts w:hint="default" w:ascii="Times New Roman" w:hAnsi="Times New Roman" w:eastAsia="仿宋" w:cs="Times New Roman"/>
                      <w:sz w:val="21"/>
                      <w:szCs w:val="21"/>
                      <w:vertAlign w:val="baseline"/>
                    </w:rPr>
                  </w:pPr>
                  <w:r>
                    <w:rPr>
                      <w:rFonts w:hint="default" w:ascii="Times New Roman" w:hAnsi="Times New Roman" w:eastAsia="仿宋" w:cs="Times New Roman"/>
                      <w:b/>
                      <w:bCs/>
                      <w:color w:val="000000"/>
                      <w:kern w:val="0"/>
                      <w:sz w:val="21"/>
                      <w:szCs w:val="21"/>
                      <w:lang w:val="en-US" w:eastAsia="zh-CN" w:bidi="ar-SA"/>
                    </w:rPr>
                    <w:t>本项目情况</w:t>
                  </w:r>
                </w:p>
              </w:tc>
              <w:tc>
                <w:tcPr>
                  <w:tcW w:w="385" w:type="pct"/>
                  <w:vAlign w:val="center"/>
                </w:tcPr>
                <w:p>
                  <w:pPr>
                    <w:pStyle w:val="87"/>
                    <w:widowControl/>
                    <w:shd w:val="clear" w:color="auto" w:fill="FFFFFF"/>
                    <w:spacing w:line="240" w:lineRule="auto"/>
                    <w:ind w:firstLine="0" w:firstLineChars="0"/>
                    <w:jc w:val="center"/>
                    <w:rPr>
                      <w:rFonts w:hint="default" w:ascii="Times New Roman" w:hAnsi="Times New Roman" w:eastAsia="仿宋" w:cs="Times New Roman"/>
                      <w:sz w:val="21"/>
                      <w:szCs w:val="21"/>
                      <w:vertAlign w:val="baseline"/>
                    </w:rPr>
                  </w:pPr>
                  <w:r>
                    <w:rPr>
                      <w:rFonts w:hint="default" w:ascii="Times New Roman" w:hAnsi="Times New Roman" w:eastAsia="仿宋" w:cs="Times New Roman"/>
                      <w:b/>
                      <w:bCs/>
                      <w:color w:val="000000"/>
                      <w:kern w:val="0"/>
                      <w:sz w:val="21"/>
                      <w:szCs w:val="21"/>
                      <w:lang w:val="en-US" w:eastAsia="zh-CN" w:bidi="ar-SA"/>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vAlign w:val="center"/>
                </w:tcPr>
                <w:p>
                  <w:pPr>
                    <w:pStyle w:val="87"/>
                    <w:widowControl/>
                    <w:spacing w:line="240" w:lineRule="auto"/>
                    <w:ind w:firstLine="0" w:firstLineChars="0"/>
                    <w:jc w:val="center"/>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生态优先保护区（一般生态空间）9</w:t>
                  </w:r>
                </w:p>
                <w:p>
                  <w:pPr>
                    <w:pStyle w:val="87"/>
                    <w:widowControl/>
                    <w:spacing w:line="240" w:lineRule="auto"/>
                    <w:ind w:firstLine="0" w:firstLineChars="0"/>
                    <w:jc w:val="center"/>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YS5119221130009</w:t>
                  </w:r>
                </w:p>
              </w:tc>
              <w:tc>
                <w:tcPr>
                  <w:tcW w:w="1945" w:type="pct"/>
                  <w:vMerge w:val="restart"/>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空间布局约束：</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限制开发建设活动的要求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不符合空间布局要求活动的退出要求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其他空间布局约束要求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污染物排放管控：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允许排放量要求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现有源提标升级改造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其他污染物排放管控要求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环境风险防控：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联防联控要求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其他环境风险防控要求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资源开发利用效率要求：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水资源利用总量要求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地下水开采要求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能源利用总量及效率要求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禁燃区要求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其他资源利用效率要求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空间布局约束：</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限制开发建设活动的要求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不符合空间布局要求活动的退出要求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其他空间布局约束要求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污染物排放管控：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允许排放量要求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现有源提标升级改造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其他污染物排放管控要求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环境风险防控：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联防联控要求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其他环境风险防控要求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资源开发利用效率要求：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水资源利用总量要求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地下水开采要求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能源利用总量及效率要求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禁燃区要求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其他资源利用效率要求</w:t>
                  </w:r>
                </w:p>
                <w:p>
                  <w:pPr>
                    <w:pStyle w:val="87"/>
                    <w:widowControl w:val="0"/>
                    <w:spacing w:line="240" w:lineRule="auto"/>
                    <w:ind w:firstLine="0" w:firstLineChars="0"/>
                    <w:jc w:val="both"/>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空间布局约束：</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限制开发建设活动的要求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不符合空间布局要求活动的退出要求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其他空间布局约束要求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污染物排放管控：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允许排放量要求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现有源提标升级改造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其他污染物排放管控要求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环境风险防控：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联防联控要求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其他环境风险防控要求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资源开发利用效率要求：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水资源利用总量要求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地下水开采要求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能源利用总量及效率要求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禁燃区要求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其他资源利用效率要求</w:t>
                  </w:r>
                </w:p>
                <w:p>
                  <w:pPr>
                    <w:pStyle w:val="87"/>
                    <w:widowControl w:val="0"/>
                    <w:spacing w:line="240" w:lineRule="auto"/>
                    <w:ind w:firstLine="0" w:firstLineChars="0"/>
                    <w:jc w:val="both"/>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color w:val="000000"/>
                      <w:kern w:val="0"/>
                      <w:sz w:val="21"/>
                      <w:szCs w:val="21"/>
                      <w:lang w:val="en-US" w:eastAsia="zh-CN" w:bidi="ar-SA"/>
                    </w:rPr>
                    <w:t>暂无</w:t>
                  </w: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空间布局约束</w:t>
                  </w:r>
                </w:p>
              </w:tc>
              <w:tc>
                <w:tcPr>
                  <w:tcW w:w="1322" w:type="pct"/>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禁止开发建设活动的要求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水源涵养重要区、生物多样性维护重要区、水土保持功能重要区参照《全国生态功能区划》执行</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限制开发建设活动的要求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水源涵养重要区、生物多样性维护重要区、水土保持功能重要区参照《全国生态功能区划》执行</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允许开发建设活动的要求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水源涵养重要区、生物多样性维护重要区、水土保持功能重要区参照《全国生态功能区划》执行</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不符合空间布局要求活动的退出要求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水源涵养重要区、生物多样性维护重要区、水土保持功能重要区参照《全国生态功能区划》执行</w:t>
                  </w:r>
                </w:p>
                <w:p>
                  <w:pPr>
                    <w:spacing w:line="240" w:lineRule="auto"/>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其他空间布局约束要求</w:t>
                  </w:r>
                </w:p>
              </w:tc>
              <w:tc>
                <w:tcPr>
                  <w:tcW w:w="558" w:type="pct"/>
                </w:tcPr>
                <w:p>
                  <w:pPr>
                    <w:numPr>
                      <w:ilvl w:val="0"/>
                      <w:numId w:val="1"/>
                    </w:numPr>
                    <w:spacing w:line="240" w:lineRule="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本项目施工期废水经沉淀后全部回用，运营期废水经处理后用于升压站绿化灌溉，不外排；</w:t>
                  </w:r>
                </w:p>
                <w:p>
                  <w:pPr>
                    <w:numPr>
                      <w:ilvl w:val="0"/>
                      <w:numId w:val="1"/>
                    </w:num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项目占地仅限风机平台、升压站和检修道路等，施工过程中将落实生态保护、水土保持等措施，施工结束后对周边生态环境的影响将逐步消失。</w:t>
                  </w:r>
                </w:p>
              </w:tc>
              <w:tc>
                <w:tcPr>
                  <w:tcW w:w="385"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污染物排放管控</w:t>
                  </w:r>
                </w:p>
              </w:tc>
              <w:tc>
                <w:tcPr>
                  <w:tcW w:w="1322" w:type="pct"/>
                </w:tcPr>
                <w:p>
                  <w:pPr>
                    <w:spacing w:line="240" w:lineRule="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558"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c>
                <w:tcPr>
                  <w:tcW w:w="385"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环境风险防控</w:t>
                  </w:r>
                </w:p>
              </w:tc>
              <w:tc>
                <w:tcPr>
                  <w:tcW w:w="1322" w:type="pct"/>
                </w:tcPr>
                <w:p>
                  <w:pPr>
                    <w:spacing w:line="240" w:lineRule="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558"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c>
                <w:tcPr>
                  <w:tcW w:w="385"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资源开发效率要求</w:t>
                  </w:r>
                </w:p>
              </w:tc>
              <w:tc>
                <w:tcPr>
                  <w:tcW w:w="1322" w:type="pct"/>
                </w:tcPr>
                <w:p>
                  <w:pPr>
                    <w:spacing w:line="240" w:lineRule="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558"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c>
                <w:tcPr>
                  <w:tcW w:w="385"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vAlign w:val="center"/>
                </w:tcPr>
                <w:p>
                  <w:pPr>
                    <w:pStyle w:val="87"/>
                    <w:widowControl/>
                    <w:spacing w:line="240" w:lineRule="auto"/>
                    <w:ind w:firstLine="0" w:firstLineChars="0"/>
                    <w:jc w:val="center"/>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南江县大气环境布局敏感重点管控区YS5119222320001</w:t>
                  </w:r>
                </w:p>
              </w:tc>
              <w:tc>
                <w:tcPr>
                  <w:tcW w:w="1945" w:type="pct"/>
                  <w:vMerge w:val="continue"/>
                  <w:vAlign w:val="top"/>
                </w:tcPr>
                <w:p>
                  <w:pPr>
                    <w:pStyle w:val="87"/>
                    <w:widowControl w:val="0"/>
                    <w:spacing w:line="240" w:lineRule="auto"/>
                    <w:ind w:firstLine="0" w:firstLineChars="0"/>
                    <w:jc w:val="both"/>
                    <w:rPr>
                      <w:rFonts w:hint="default" w:ascii="Times New Roman" w:hAnsi="Times New Roman" w:eastAsia="仿宋" w:cs="Times New Roman"/>
                      <w:sz w:val="21"/>
                      <w:szCs w:val="21"/>
                      <w:vertAlign w:val="baseline"/>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空间布局约束</w:t>
                  </w:r>
                </w:p>
              </w:tc>
              <w:tc>
                <w:tcPr>
                  <w:tcW w:w="1322" w:type="pct"/>
                  <w:vAlign w:val="center"/>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禁止开发建设活动的要求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坚决遏制高耗能、高排放、低水平项目盲目发展，严格落实国家和四川省产业规划、产业政策、规划环评，以及产能置换、煤炭消费减量替代、区域污染物削减等要求，坚决叫停不符合要求的高耗能、高排放、低水平项目</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2、严禁新增钢铁、焦化、炼油、电解铝、水泥、平板玻璃（不含光伏玻璃）等产能</w:t>
                  </w:r>
                </w:p>
                <w:p>
                  <w:pPr>
                    <w:pStyle w:val="87"/>
                    <w:widowControl/>
                    <w:numPr>
                      <w:ilvl w:val="0"/>
                      <w:numId w:val="0"/>
                    </w:numPr>
                    <w:shd w:val="clear" w:color="auto" w:fill="FFFFFF"/>
                    <w:spacing w:line="240" w:lineRule="auto"/>
                    <w:ind w:right="-1733" w:rightChars="-825"/>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限制开发建设活动的要求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numPr>
                      <w:ilvl w:val="0"/>
                      <w:numId w:val="0"/>
                    </w:numPr>
                    <w:shd w:val="clear" w:color="auto" w:fill="FFFFFF"/>
                    <w:spacing w:line="240" w:lineRule="auto"/>
                    <w:ind w:right="-1733" w:rightChars="-825"/>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允许开发建设活动的要求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不符合空间布局要求活动的退出要求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numPr>
                      <w:ilvl w:val="0"/>
                      <w:numId w:val="0"/>
                    </w:numPr>
                    <w:shd w:val="clear" w:color="auto" w:fill="FFFFFF"/>
                    <w:spacing w:line="240" w:lineRule="auto"/>
                    <w:ind w:right="-1733" w:rightChars="-825"/>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其他空间布局约束要求</w:t>
                  </w: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w:t>
                  </w:r>
                </w:p>
              </w:tc>
              <w:tc>
                <w:tcPr>
                  <w:tcW w:w="558"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本项目为风力发电项目，不属于高能耗项目</w:t>
                  </w:r>
                </w:p>
              </w:tc>
              <w:tc>
                <w:tcPr>
                  <w:tcW w:w="385" w:type="pct"/>
                </w:tcPr>
                <w:p>
                  <w:pPr>
                    <w:spacing w:line="240" w:lineRule="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污染物排放管控</w:t>
                  </w:r>
                </w:p>
              </w:tc>
              <w:tc>
                <w:tcPr>
                  <w:tcW w:w="1322" w:type="pct"/>
                  <w:vAlign w:val="center"/>
                </w:tcPr>
                <w:p>
                  <w:pPr>
                    <w:pStyle w:val="87"/>
                    <w:widowControl/>
                    <w:numPr>
                      <w:ilvl w:val="0"/>
                      <w:numId w:val="0"/>
                    </w:numPr>
                    <w:shd w:val="clear" w:color="auto" w:fill="FFFFFF"/>
                    <w:spacing w:line="240" w:lineRule="auto"/>
                    <w:ind w:right="-1733" w:rightChars="-825"/>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大气环境质量执行标准</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《环境空气质量标准》（GB3095-2012）：二级</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区域大气污染物削减/替代要求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燃煤和其他能源大气污染控制要求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numPr>
                      <w:ilvl w:val="0"/>
                      <w:numId w:val="0"/>
                    </w:numPr>
                    <w:shd w:val="clear" w:color="auto" w:fill="FFFFFF"/>
                    <w:spacing w:line="240" w:lineRule="auto"/>
                    <w:ind w:right="-1733" w:rightChars="-825"/>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工业废气污染控制要求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机动车船大气污染控制要求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扬尘污染控制要求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农业生产经营活动大气污染控制要求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重点行业企业专项治理要求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其他大气污染物排放管控要求</w:t>
                  </w: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w:t>
                  </w:r>
                </w:p>
              </w:tc>
              <w:tc>
                <w:tcPr>
                  <w:tcW w:w="558"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本项目为风力发电项目，不排放大气污染物</w:t>
                  </w:r>
                </w:p>
              </w:tc>
              <w:tc>
                <w:tcPr>
                  <w:tcW w:w="385" w:type="pct"/>
                </w:tcPr>
                <w:p>
                  <w:pPr>
                    <w:spacing w:line="240" w:lineRule="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环境风险防控</w:t>
                  </w:r>
                </w:p>
              </w:tc>
              <w:tc>
                <w:tcPr>
                  <w:tcW w:w="1322" w:type="pct"/>
                </w:tcPr>
                <w:p>
                  <w:pPr>
                    <w:spacing w:line="240" w:lineRule="auto"/>
                    <w:rPr>
                      <w:rFonts w:hint="default" w:ascii="Times New Roman" w:hAnsi="Times New Roman" w:eastAsia="仿宋" w:cs="Times New Roman"/>
                      <w:sz w:val="21"/>
                      <w:szCs w:val="21"/>
                      <w:vertAlign w:val="baseline"/>
                      <w:lang w:eastAsia="zh-CN"/>
                    </w:rPr>
                  </w:pPr>
                  <w:r>
                    <w:rPr>
                      <w:rFonts w:hint="default" w:ascii="Times New Roman" w:hAnsi="Times New Roman" w:eastAsia="仿宋" w:cs="Times New Roman"/>
                      <w:sz w:val="21"/>
                      <w:szCs w:val="21"/>
                      <w:vertAlign w:val="baseline"/>
                      <w:lang w:val="en-US" w:eastAsia="zh-CN"/>
                    </w:rPr>
                    <w:t>/</w:t>
                  </w:r>
                </w:p>
              </w:tc>
              <w:tc>
                <w:tcPr>
                  <w:tcW w:w="558"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c>
                <w:tcPr>
                  <w:tcW w:w="385"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资源开发效率要求</w:t>
                  </w:r>
                </w:p>
              </w:tc>
              <w:tc>
                <w:tcPr>
                  <w:tcW w:w="1322" w:type="pct"/>
                </w:tcPr>
                <w:p>
                  <w:pPr>
                    <w:spacing w:line="240" w:lineRule="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c>
                <w:tcPr>
                  <w:tcW w:w="558"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c>
                <w:tcPr>
                  <w:tcW w:w="385" w:type="pct"/>
                  <w:vAlign w:val="top"/>
                </w:tcPr>
                <w:p>
                  <w:pPr>
                    <w:spacing w:line="240" w:lineRule="auto"/>
                    <w:rPr>
                      <w:rFonts w:hint="default" w:ascii="Times New Roman" w:hAnsi="Times New Roman" w:eastAsia="仿宋" w:cs="Times New Roman"/>
                      <w:sz w:val="21"/>
                      <w:szCs w:val="21"/>
                      <w:vertAlign w:val="baseline"/>
                    </w:rPr>
                  </w:pPr>
                  <w:r>
                    <w:rPr>
                      <w:rFonts w:hint="default" w:ascii="Times New Roman" w:hAnsi="Times New Roman" w:eastAsia="仿宋" w:cs="Times New Roman"/>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vAlign w:val="center"/>
                </w:tcPr>
                <w:p>
                  <w:pPr>
                    <w:pStyle w:val="87"/>
                    <w:widowControl/>
                    <w:spacing w:line="240" w:lineRule="auto"/>
                    <w:ind w:firstLine="0" w:firstLineChars="0"/>
                    <w:jc w:val="center"/>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南江河-南江县-元潭-控制单元YS5119223210003</w:t>
                  </w:r>
                </w:p>
              </w:tc>
              <w:tc>
                <w:tcPr>
                  <w:tcW w:w="1945" w:type="pct"/>
                  <w:vMerge w:val="continue"/>
                  <w:vAlign w:val="top"/>
                </w:tcPr>
                <w:p>
                  <w:pPr>
                    <w:pStyle w:val="87"/>
                    <w:widowControl w:val="0"/>
                    <w:spacing w:line="240" w:lineRule="auto"/>
                    <w:ind w:firstLine="0" w:firstLineChars="0"/>
                    <w:jc w:val="both"/>
                    <w:rPr>
                      <w:rFonts w:hint="default" w:ascii="Times New Roman" w:hAnsi="Times New Roman" w:eastAsia="仿宋" w:cs="Times New Roman"/>
                      <w:sz w:val="21"/>
                      <w:szCs w:val="21"/>
                      <w:vertAlign w:val="baseline"/>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空间布局约束</w:t>
                  </w:r>
                </w:p>
              </w:tc>
              <w:tc>
                <w:tcPr>
                  <w:tcW w:w="1322" w:type="pct"/>
                  <w:vAlign w:val="center"/>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禁止开发建设活动的要求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不再新建、改扩建开采规模在50万吨/年以下的磷矿，不再新建露天磷矿</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限制开发建设活动的要求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允许开发建设活动的要求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不符合空间布局要求活动的退出要求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其他空间布局约束要求</w:t>
                  </w:r>
                </w:p>
              </w:tc>
              <w:tc>
                <w:tcPr>
                  <w:tcW w:w="558"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本项目为风力发电项目</w:t>
                  </w:r>
                </w:p>
              </w:tc>
              <w:tc>
                <w:tcPr>
                  <w:tcW w:w="385" w:type="pct"/>
                </w:tcPr>
                <w:p>
                  <w:pPr>
                    <w:spacing w:line="240" w:lineRule="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污染物排放管控</w:t>
                  </w:r>
                </w:p>
              </w:tc>
              <w:tc>
                <w:tcPr>
                  <w:tcW w:w="1322" w:type="pct"/>
                  <w:vAlign w:val="center"/>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城镇污水污染控制措施要求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1、持续推进环保基础设施补短板，完善污水收集处理系统。2、保障乡镇污水收集处理设施顺畅运行。3、推进污水直排口排查与整治，落实“一口一策”整改措施。</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工业废水污染控制措施要求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1、落实主要污染物排放总量指标控制要求，加强入河排污口登记、审批和监督管理。2、强化流域内工业点源、规模化畜禽养殖场运行监管，避免偷排、漏排。</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农业面源水污染控制措施要求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船舶港口水污染控制措施要求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饮用水水源和其它特殊水体保护要求</w:t>
                  </w:r>
                </w:p>
              </w:tc>
              <w:tc>
                <w:tcPr>
                  <w:tcW w:w="558" w:type="pct"/>
                </w:tcPr>
                <w:p>
                  <w:pPr>
                    <w:numPr>
                      <w:ilvl w:val="0"/>
                      <w:numId w:val="0"/>
                    </w:num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本项目施工期废水经沉淀后全部回用，运营期废水经处理后用于升压站绿化灌溉，不外排，本项目不涉及畜禽养殖</w:t>
                  </w:r>
                </w:p>
              </w:tc>
              <w:tc>
                <w:tcPr>
                  <w:tcW w:w="385"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环境风险防控</w:t>
                  </w:r>
                </w:p>
              </w:tc>
              <w:tc>
                <w:tcPr>
                  <w:tcW w:w="1322" w:type="pct"/>
                  <w:vAlign w:val="center"/>
                </w:tcPr>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558"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本项目为风力发电项目</w:t>
                  </w:r>
                </w:p>
              </w:tc>
              <w:tc>
                <w:tcPr>
                  <w:tcW w:w="385" w:type="pct"/>
                </w:tcPr>
                <w:p>
                  <w:pPr>
                    <w:spacing w:line="240" w:lineRule="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资源开发效率要求</w:t>
                  </w:r>
                </w:p>
              </w:tc>
              <w:tc>
                <w:tcPr>
                  <w:tcW w:w="1322" w:type="pct"/>
                  <w:vAlign w:val="center"/>
                </w:tcPr>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强化种植业节水；推进农村污水分质资源化利用。</w:t>
                  </w:r>
                </w:p>
              </w:tc>
              <w:tc>
                <w:tcPr>
                  <w:tcW w:w="558"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本项目不涉及农业种植</w:t>
                  </w:r>
                </w:p>
              </w:tc>
              <w:tc>
                <w:tcPr>
                  <w:tcW w:w="385"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vAlign w:val="center"/>
                </w:tcPr>
                <w:p>
                  <w:pPr>
                    <w:pStyle w:val="87"/>
                    <w:widowControl/>
                    <w:spacing w:line="240" w:lineRule="auto"/>
                    <w:ind w:firstLine="0" w:firstLineChars="0"/>
                    <w:jc w:val="center"/>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光雾山—诺水河国家级风景名胜区、神门风景名胜区、四川大小兰沟自然保护区、四川光雾山自然保护区、四川米仓山国家级自然保护区、焦家河重口裂腹鱼国家级水产种质资源保护区、方田坝—二郎庙水库集中式饮用水水源地、南江县金台水库集中式饮用水源地、方田坝—二郎庙水库集中式饮用水水源地（跨区县）、四川米仓山国家级森林公园、生态功能重要区-水土保持功能重要区、四川米仓山国家森林公园ZH51192210001</w:t>
                  </w:r>
                </w:p>
              </w:tc>
              <w:tc>
                <w:tcPr>
                  <w:tcW w:w="1945" w:type="pct"/>
                  <w:vMerge w:val="restart"/>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空间布局约束：</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生态保护红线：</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生态保护红线内自然保护地核心保护区外，禁止开发性、生产性建设活动，在符合法律法规的前提下，仅允许《关于加强生态保护红线管理的通知（试行）》（自然资发[2022]142号）中规定的十类对生态功能不造成破坏的有限人为活动。生态保护红线内自然保护区、风景名胜区、饮用水水源保护区等区域，依照法律法规执行。</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自然保护区：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-禁止任何人进入自然保护区的核心区。自然保护区核心区内原有居民确有必要迁出的，由自然保护区所在地的县级以上地方人民政府制定方案，予以妥善安置。</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-禁止在自然保护区的缓冲区开展旅游和生产经营活动。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-严禁开设与自然保护区保护方向不一致的参观、旅游项目。</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-禁止在自然保护区内进行砍伐、放牧、狩猎、捕捞、采药、开垦、烧荒、开矿、采石、挖沙等活动（法律、行政法规另有规定除外）。</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-在自然保护区的核心区和缓冲区内，禁止建设任何生产设施。在自然保护区的实验区内，不得建设污染环境、破坏资源或者景观的生产设施。</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-自然保护区的内部未分区的，依照本条例有关核心区和缓冲区的规定管理。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风景名胜区：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-禁止开山、采石、开矿、开荒、修坟立碑等破坏景观、植被和地形地貌的活动；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-禁止修建储存爆炸性、易燃性、放射性、毒害性、腐蚀性物品的设施；</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-禁止在景物或者设施上刻划、涂污；</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-禁止乱扔垃圾；</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违反风景名胜区规划，在风景名胜区内设立各类开发区和在核心景区内建设宾馆、招待所、培训中心、疗养院以及与风景名胜资源保护无关的其他建筑物；-在风景名胜区及其外围保护地带内，不得设立开发区、度假区，不得建设破坏景观、污染环境的工矿企业和其他项目、设施。</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游人集中的游览区和自然环境保留地内，不得建设旅馆、招待所、休疗养机构、生活区以及其他影响观瞻或污染环境的工程设施；已经建设的，应当按照风景名胜区规划，逐步迁出。-禁止任何单位和个人在风景名胜区内从事开山采石、围湖造田、开荒等改变地貌和破坏环境、景观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饮用水源保护区：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-禁止在饮用水水源保护区内，禁止设置排污口。</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-禁止在饮用水水源二级保护区内新建、改建、扩建排放污染物的建设项目；已建成的排放污染物的建设项目，由县级以上人民政府责令拆除或者关闭。</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-禁止在饮用水水源准保护区内新建、扩建对水体污染严重的建设项目；改建建设项目，不得增加排污量。</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-严格执行《四川省饮用水源保护管理条例》、《巴中市城市饮用水水源保护条例》等。</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-严禁在饮用水水源一级保护区使用农药、化肥。</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-禁止在饮用水水源二级保护区建设有污染物排放的养殖场。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基本农田：</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-在永久基本农田集中区域，不得新建可能造成土壤污染的建设项目；已经建成的，应当限期关闭拆除。</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-永久基本农田，实行严格保护，除法律规定的重点建设项目选址确实无法避让外，其他任何建设不得占用。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-禁止在基本农田保护区内建窑、建房、建坟、挖砂、采石、采矿、取土、堆放固体废弃物或者进行其他破坏基本农田的活动。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-禁止占用基本农田发展林果业和挖塘养鱼。</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国家森林公园：</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-禁止擅自在国家级森林自然公园内从事采矿、房地产、开发区、高尔夫球场、风力光伏电场等不符合管控要求的开发活动。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-禁止违规侵占国家级森林自然公园，排放不符合水污染物排放标准的工业废水、生活污水及其他的废水、污水，倾倒、堆放、丢弃、遗撒固体废物等污染生态环境的行为。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-国家级森林自然公园按照一般控制区管理。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国家级森林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水产种质资源保护区：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水产种质资源保护区内从事围河（湖）造田、造地工程。禁止在水产种质资源保护区内新建排污口。四川省境内水产种质资源保护区实行全年禁渔。禁止在水产种质资源保护区内从事捕捞、垂钓、挖砂采石以及其他可能对保护区内生物资源和生态环境造成损害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地质公园：</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-禁止在保护区内及可能对地质遗迹造成影响的一定范围内进行采石、取土、开矿、放牧、砍伐以及其它对保护对象有损害的活动。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-未经管理机构批准，禁止在保护区范围内采集标本和化石。禁止在保护区内修建与地质遗迹保护无关的厂房或其他建筑设施。</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文化与自然遗产地：</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-世界遗产地范围应划入禁止建设区域，不得开展与遗产资源保护无关的建设活动；缓冲区范围应划入限制建设区域，严格控制各类景观游赏及旅游服务设施建设活动。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-禁止在世界遗产保护范围内实施以下行为：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生物多样性维护-生态功能区：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-禁止对野生动植物进行滥捕、乱采、乱猎；</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-保护自然生态系统与重要物种栖息地，限制或禁止各种损害栖息地的经济社会活动和生产方式，如无序采矿、毁林开荒、湿地和草地开垦、道路建设等，防止生态建设导致栖息环境的改变；</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-加强对外来物种入侵的控制，禁止在生物多样性维护功能区引进外来物种禁止毁林开荒、烧山开荒和陡坡地开垦，合理开发自然资源，保护和恢复自然生态系统，增强区域水土保持能力</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-禁止生物多样性维护生态功能区的大规模水电开发和林纸一体化产业发展。</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水源涵养-生态功能区：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-严格保护具有水源涵养功能的自然植被，禁止过度放牧、无序采矿、毁林开荒、开垦草原等行为。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-严格保护具有重要水源涵养功能的自然植被，限制或禁止各种损害生态系统水源涵养功能的经济社会活动和生产方式，如无序采矿、毁林开荒、湿地和草地开垦、过度放牧、道路建设等；</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-控制水污染，减轻水污染负荷，禁止导致水体污染的产业发展，开展生态清洁小流域的建设。</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-禁止高水资源消耗产业布局。</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水土保持-生态功能区：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-严禁陡坡垦殖和过度放牧。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-禁止毁林开荒、烧山开荒和陡坡地开垦。</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-禁止在二十五度以上陡坡地开垦种植农作物。</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-禁止在崩塌、滑坡危险区和泥石流易发区从事取土、挖砂、采石等可能造成水土流失的活动。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-禁止毁林、毁草开垦和采集发菜。禁止在水土流失重点预防区和重点治理区铲草皮、挖树兜或者滥挖虫草、甘草、麻黄等。</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水土流失敏感区：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-禁止在长江流域水土流失严重、生态脆弱的区域开展可能造成水土流失的生产建设活动。确因国家发展需要建设的，应当经科学论证，并依法办理审批手续。</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-禁止在二十五度陡坡地开垦种植农作物。</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-禁止过度放牧。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-禁止在崩塌、滑坡危险区和泥石流易发区从事取土、挖砂、采石等可能造成水土流失的活动。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禁止在生态保护红线区域、永久基本农田集中区域和其他需要特别保护的区域内选址建设尾矿库、冶炼渣库磷石膏库。</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限制开发建设活动的要求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自然保护区：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-因教学科研的目的，需要进入自然保护区的缓冲区从事非破坏性的科学研究、教学实习和标本采集活动的，应当事先向自然保护区管理机构提交申请和活动计划，经自然保护区管理机构批准。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-在自然保护区的实验区内开展参观、旅游活动的，由自然保护区管理机构编制方案，方案应当符合自然保护区管理目标。</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-在自然保护区的实验区内建设其他项目，其污染物排放不得超过国家和地方规定的污染物排放标准。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风景名胜区：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-在国家级风景名胜区内修建缆车、索道等重大建设工程，项目的选址方案应当报省、自治区人民政府建设主管部门和直辖市人民政府风景名胜区主管部门核准。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风景名胜区中设置、张贴商业广告，举办大型游乐等活动，从事改变水资源、水环境自然状态的活动以及其他影响生态和景观的活动，应当经风景名胜区管理机构审核后，依照有关法律、法规的规定报有关主管部门批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风景名胜区内的建设项目应当符合风景名胜区规划，并与景观相协调，不得破坏景观、污染环境、妨碍游览。在风景名胜区内进行建设活动的，建设单位、施工单位应当制定污染防治和水土保持方案，并采取有效措施，保护好周围景物、水体、林草植被、野生动物资源和地形地貌。</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湿地公园：</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1）在湿地范围内从事旅游、种植、畜牧、水产养殖、航运等利用活动，应当避免改变湿地的自然状况，并采取措施减轻对湿地生态功能的不利影响。（2）地方各级人民政府应当严格控制河流源头和蓄滞洪区、水土流失严重区等区域的湿地开发利用活动，减轻对湿地及其生物多样性的不利影响。（3）地方各级人民政府对省级重要湿地和一般湿地利用活动进行分类指导，鼓励单位和个人开展符合湿地保护要求的生态旅游、生态农业、生态教育、自然体验等活动，适度控制种植养殖等湿地利用规模。（4）国家级湿地自然公园按照一般控制区管理。（5）国家级湿地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基本农田：</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一般建设项目不得占用永久基本农田；重大建设项目选址确实难以避让永久基本农田的，在可行性研究阶段，省级自然资源主管部门负责组织对占用的必要性、合理性和补划方案的可行性进行严格论证，报自然资源部用地预审；农用地转用和土地征收依法报批。</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-严格控制在优先保护类耕地集中区域新建有色金属冶炼、石油加工、化工、焦化、电镀、制革等行业企业，现有相关行业企业要采用新技术、新工艺，加快提标升级改造步伐。</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水产种质资源保护区：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-在水产种质资源保护区附近新建、改建、扩建排污口，应当保证保护区水体不受污染。</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文化与自然遗产地：</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-缓冲区范围应划入限制建设区域，严格控制各类景观游赏及旅游服务设施建设活动。</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生物多样性维护-生态功能区：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-在不损害生态系统功能的前提下，可因地制宜地适度发展旅游、农林产品和加工、观光休闲农业等产业。</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水源涵养-生态功能区：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-严格限制在水源涵养区大规模人工造林。</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-严格控制载畜量，实行以草定畜，在农牧交错区提倡农牧结合，发展生态产业，培育替代产业，减轻区内畜牧业对水源和生态系统的压力。</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-调整产业结构，加速城镇化和新农村建设的进程，加快农业人口的转移，降低人口对生态系统的压力。</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-严格资源开发和建设项目的生态监管，控制新的人为水土流失。</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-水土流失严重、生态脆弱的地区，应当限制或者禁止可能造成水土流失的生产建设活动，严格保护植物、沙壳、结皮、地衣等。</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-生产建设项目选址、选线应当避让水土流失重点预防区和重点治理区；无法避让的，应当提高防治标准，优化施工工艺，减少地表扰动和植被损坏范围，有效控制可能造成的水土流失。</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不符合空间布局要求活动的退出要求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1.已有矿业权与生态保护红线、自然保护地等禁止或限制开发区域重叠的，要按相关要求主动退出或避让。</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2.现有不符合相关保护区法律法规和规划的项目，应限期整改或关闭。对已造成的污染或损害，应限期治理。</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其他空间布局约束要求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污染物排放管控：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允许排放量要求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现有源提标升级改造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其他污染物排放管控要求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环境风险防控：</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联防联控要求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强化大气污染区域联防联控措施，实施重污染天气应急管控。修订重污染天气应急预案，动态更新污染源排放清单，落实重点企业错峰生产、压产限产、工地停工等强制性措施，有效减缓重污染天气影响。</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其他环境风险防控要求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暂无</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资源开发利用效率要求：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水资源利用总量要求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地下水开采要求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-巴中市2025年地下水开采控制控制量保持在1400万m</w:t>
                  </w:r>
                  <w:r>
                    <w:rPr>
                      <w:rStyle w:val="23"/>
                      <w:rFonts w:hint="default" w:ascii="Times New Roman" w:hAnsi="Times New Roman" w:eastAsia="仿宋" w:cs="Times New Roman"/>
                      <w:color w:val="000000"/>
                      <w:kern w:val="0"/>
                      <w:sz w:val="21"/>
                      <w:szCs w:val="21"/>
                      <w:vertAlign w:val="superscript"/>
                      <w:lang w:val="en-US" w:eastAsia="zh-CN" w:bidi="ar-SA"/>
                    </w:rPr>
                    <w:t>3</w:t>
                  </w:r>
                  <w:r>
                    <w:rPr>
                      <w:rStyle w:val="23"/>
                      <w:rFonts w:hint="default" w:ascii="Times New Roman" w:hAnsi="Times New Roman" w:eastAsia="仿宋" w:cs="Times New Roman"/>
                      <w:color w:val="000000"/>
                      <w:kern w:val="0"/>
                      <w:sz w:val="21"/>
                      <w:szCs w:val="21"/>
                      <w:lang w:val="en-US" w:eastAsia="zh-CN" w:bidi="ar-SA"/>
                    </w:rPr>
                    <w:t>以内。</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-地下水开采量控制在可开采量的允 许范围内，抑制用水过度增长。</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能源利用总量及效率要求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禁燃区要求</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优先保护单元内无禁燃区</w:t>
                  </w:r>
                </w:p>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r>
                    <w:rPr>
                      <w:rStyle w:val="23"/>
                      <w:rFonts w:hint="default" w:ascii="Times New Roman" w:hAnsi="Times New Roman" w:eastAsia="仿宋" w:cs="Times New Roman"/>
                      <w:color w:val="000000"/>
                      <w:kern w:val="0"/>
                      <w:sz w:val="21"/>
                      <w:szCs w:val="21"/>
                      <w:lang w:val="en-US" w:eastAsia="zh-CN" w:bidi="ar-SA"/>
                    </w:rPr>
                    <w:t>其他资源利用效率要求</w:t>
                  </w:r>
                </w:p>
                <w:p>
                  <w:pPr>
                    <w:pStyle w:val="87"/>
                    <w:widowControl w:val="0"/>
                    <w:spacing w:line="240" w:lineRule="auto"/>
                    <w:ind w:firstLine="0" w:firstLineChars="0"/>
                    <w:jc w:val="both"/>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color w:val="000000"/>
                      <w:kern w:val="0"/>
                      <w:sz w:val="21"/>
                      <w:szCs w:val="21"/>
                      <w:lang w:val="en-US" w:eastAsia="zh-CN" w:bidi="ar-SA"/>
                    </w:rPr>
                    <w:t>△</w:t>
                  </w: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空间布局约束</w:t>
                  </w:r>
                </w:p>
              </w:tc>
              <w:tc>
                <w:tcPr>
                  <w:tcW w:w="1322" w:type="pct"/>
                  <w:vAlign w:val="center"/>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禁止开发建设活动的要求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同优先保护单元普适性管控要求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限制开发建设活动的要求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同优先保护单元普适性管控要求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允许开发建设活动的要求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同优先保护单元普适性管控要求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不符合空间布局要求活动的退出要求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同优先保护单元普适性管控要求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其他空间布局约束要求</w:t>
                  </w: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w:t>
                  </w:r>
                </w:p>
              </w:tc>
              <w:tc>
                <w:tcPr>
                  <w:tcW w:w="558" w:type="pct"/>
                </w:tcPr>
                <w:p>
                  <w:pPr>
                    <w:numPr>
                      <w:ilvl w:val="0"/>
                      <w:numId w:val="2"/>
                    </w:numPr>
                    <w:spacing w:line="240" w:lineRule="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根据南江县自然资源和规划局的复函，本项目不涉及生态保护红线；</w:t>
                  </w:r>
                </w:p>
                <w:p>
                  <w:pPr>
                    <w:numPr>
                      <w:ilvl w:val="0"/>
                      <w:numId w:val="2"/>
                    </w:num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根据南江县林业局的复函，本项目不涉及各类自然保护区；</w:t>
                  </w:r>
                </w:p>
                <w:p>
                  <w:pPr>
                    <w:numPr>
                      <w:ilvl w:val="0"/>
                      <w:numId w:val="2"/>
                    </w:num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根据巴中市南江生态环境局的复函，本项目不涉及饮用水源保护区</w:t>
                  </w:r>
                </w:p>
                <w:p>
                  <w:pPr>
                    <w:numPr>
                      <w:ilvl w:val="0"/>
                      <w:numId w:val="0"/>
                    </w:numPr>
                    <w:spacing w:line="240" w:lineRule="auto"/>
                    <w:rPr>
                      <w:rFonts w:hint="default" w:ascii="Times New Roman" w:hAnsi="Times New Roman" w:eastAsia="仿宋" w:cs="Times New Roman"/>
                      <w:sz w:val="21"/>
                      <w:szCs w:val="21"/>
                      <w:vertAlign w:val="baseline"/>
                      <w:lang w:val="en-US" w:eastAsia="zh-CN"/>
                    </w:rPr>
                  </w:pPr>
                </w:p>
              </w:tc>
              <w:tc>
                <w:tcPr>
                  <w:tcW w:w="385" w:type="pct"/>
                </w:tcPr>
                <w:p>
                  <w:pPr>
                    <w:spacing w:line="240" w:lineRule="auto"/>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vAlign w:val="center"/>
                </w:tcPr>
                <w:p>
                  <w:pPr>
                    <w:pStyle w:val="87"/>
                    <w:widowControl/>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p>
              </w:tc>
              <w:tc>
                <w:tcPr>
                  <w:tcW w:w="1945" w:type="pct"/>
                  <w:vMerge w:val="continue"/>
                  <w:vAlign w:val="top"/>
                </w:tcPr>
                <w:p>
                  <w:pPr>
                    <w:pStyle w:val="87"/>
                    <w:widowControl w:val="0"/>
                    <w:spacing w:line="240" w:lineRule="auto"/>
                    <w:ind w:firstLine="0" w:firstLineChars="0"/>
                    <w:jc w:val="both"/>
                    <w:rPr>
                      <w:rStyle w:val="23"/>
                      <w:rFonts w:hint="default" w:ascii="Times New Roman" w:hAnsi="Times New Roman" w:eastAsia="仿宋" w:cs="Times New Roman"/>
                      <w:color w:val="000000"/>
                      <w:kern w:val="0"/>
                      <w:sz w:val="21"/>
                      <w:szCs w:val="21"/>
                      <w:lang w:val="en-US" w:eastAsia="zh-CN" w:bidi="ar-SA"/>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污染物排放管控</w:t>
                  </w:r>
                </w:p>
              </w:tc>
              <w:tc>
                <w:tcPr>
                  <w:tcW w:w="1322" w:type="pct"/>
                  <w:vAlign w:val="center"/>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现有源提标升级改造</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新增源等量或倍量替代</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新增源排放标准限值</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污染物排放绩效水平准入要求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其他污染物排放管控要求</w:t>
                  </w: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w:t>
                  </w:r>
                </w:p>
              </w:tc>
              <w:tc>
                <w:tcPr>
                  <w:tcW w:w="558" w:type="pct"/>
                </w:tcPr>
                <w:p>
                  <w:pPr>
                    <w:spacing w:line="240" w:lineRule="auto"/>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385" w:type="pct"/>
                </w:tcPr>
                <w:p>
                  <w:pPr>
                    <w:spacing w:line="240" w:lineRule="auto"/>
                    <w:rPr>
                      <w:rFonts w:hint="default" w:ascii="Times New Roman" w:hAnsi="Times New Roman" w:eastAsia="仿宋" w:cs="Times New Roman"/>
                      <w:sz w:val="21"/>
                      <w:szCs w:val="21"/>
                      <w:vertAlign w:val="baseline"/>
                    </w:rPr>
                  </w:pPr>
                  <w:r>
                    <w:rPr>
                      <w:rFonts w:hint="eastAsia" w:ascii="Times New Roman" w:hAnsi="Times New Roman" w:eastAsia="仿宋" w:cs="Times New Roman"/>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tcPr>
                <w:p>
                  <w:pPr>
                    <w:spacing w:line="240" w:lineRule="auto"/>
                    <w:rPr>
                      <w:rFonts w:hint="default" w:ascii="Times New Roman" w:hAnsi="Times New Roman" w:eastAsia="仿宋" w:cs="Times New Roman"/>
                      <w:sz w:val="21"/>
                      <w:szCs w:val="21"/>
                      <w:vertAlign w:val="baseline"/>
                    </w:rPr>
                  </w:pPr>
                </w:p>
              </w:tc>
              <w:tc>
                <w:tcPr>
                  <w:tcW w:w="1945" w:type="pct"/>
                  <w:vMerge w:val="continue"/>
                </w:tcPr>
                <w:p>
                  <w:pPr>
                    <w:spacing w:line="240" w:lineRule="auto"/>
                    <w:rPr>
                      <w:rFonts w:hint="default" w:ascii="Times New Roman" w:hAnsi="Times New Roman" w:eastAsia="仿宋" w:cs="Times New Roman"/>
                      <w:sz w:val="21"/>
                      <w:szCs w:val="21"/>
                      <w:vertAlign w:val="baseline"/>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环境风险防控</w:t>
                  </w:r>
                </w:p>
              </w:tc>
              <w:tc>
                <w:tcPr>
                  <w:tcW w:w="1322" w:type="pct"/>
                  <w:vAlign w:val="center"/>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严格管控类农用地管控要求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安全利用类农用地管控要求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污染地块管控要求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园区环境风险防控要求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企业环境风险防控要求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其他环境风险防控要求</w:t>
                  </w: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w:t>
                  </w:r>
                </w:p>
              </w:tc>
              <w:tc>
                <w:tcPr>
                  <w:tcW w:w="558" w:type="pct"/>
                </w:tcPr>
                <w:p>
                  <w:pPr>
                    <w:spacing w:line="240" w:lineRule="auto"/>
                    <w:rPr>
                      <w:rFonts w:hint="default" w:ascii="Times New Roman" w:hAnsi="Times New Roman" w:eastAsia="仿宋" w:cs="Times New Roman"/>
                      <w:sz w:val="21"/>
                      <w:szCs w:val="21"/>
                      <w:vertAlign w:val="baseline"/>
                    </w:rPr>
                  </w:pPr>
                  <w:r>
                    <w:rPr>
                      <w:rFonts w:hint="eastAsia" w:ascii="Times New Roman" w:hAnsi="Times New Roman" w:eastAsia="仿宋" w:cs="Times New Roman"/>
                      <w:sz w:val="21"/>
                      <w:szCs w:val="21"/>
                      <w:vertAlign w:val="baseline"/>
                      <w:lang w:val="en-US" w:eastAsia="zh-CN"/>
                    </w:rPr>
                    <w:t>/</w:t>
                  </w:r>
                </w:p>
              </w:tc>
              <w:tc>
                <w:tcPr>
                  <w:tcW w:w="385" w:type="pct"/>
                </w:tcPr>
                <w:p>
                  <w:pPr>
                    <w:spacing w:line="240" w:lineRule="auto"/>
                    <w:rPr>
                      <w:rFonts w:hint="default" w:ascii="Times New Roman" w:hAnsi="Times New Roman" w:eastAsia="仿宋" w:cs="Times New Roman"/>
                      <w:sz w:val="21"/>
                      <w:szCs w:val="21"/>
                      <w:vertAlign w:val="baseline"/>
                    </w:rPr>
                  </w:pPr>
                  <w:r>
                    <w:rPr>
                      <w:rFonts w:hint="eastAsia" w:ascii="Times New Roman" w:hAnsi="Times New Roman" w:eastAsia="仿宋" w:cs="Times New Roman"/>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tcPr>
                <w:p>
                  <w:pPr>
                    <w:spacing w:line="240" w:lineRule="auto"/>
                    <w:rPr>
                      <w:rFonts w:hint="default" w:ascii="Times New Roman" w:hAnsi="Times New Roman" w:eastAsia="仿宋" w:cs="Times New Roman"/>
                      <w:sz w:val="21"/>
                      <w:szCs w:val="21"/>
                      <w:vertAlign w:val="baseline"/>
                    </w:rPr>
                  </w:pPr>
                </w:p>
              </w:tc>
              <w:tc>
                <w:tcPr>
                  <w:tcW w:w="1945" w:type="pct"/>
                  <w:vMerge w:val="continue"/>
                </w:tcPr>
                <w:p>
                  <w:pPr>
                    <w:spacing w:line="240" w:lineRule="auto"/>
                    <w:rPr>
                      <w:rFonts w:hint="default" w:ascii="Times New Roman" w:hAnsi="Times New Roman" w:eastAsia="仿宋" w:cs="Times New Roman"/>
                      <w:sz w:val="21"/>
                      <w:szCs w:val="21"/>
                      <w:vertAlign w:val="baseline"/>
                    </w:rPr>
                  </w:pPr>
                </w:p>
              </w:tc>
              <w:tc>
                <w:tcPr>
                  <w:tcW w:w="344" w:type="pct"/>
                  <w:vAlign w:val="center"/>
                </w:tcPr>
                <w:p>
                  <w:pPr>
                    <w:pStyle w:val="87"/>
                    <w:widowControl/>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资源开发效率要求</w:t>
                  </w:r>
                </w:p>
              </w:tc>
              <w:tc>
                <w:tcPr>
                  <w:tcW w:w="1322" w:type="pct"/>
                  <w:vAlign w:val="center"/>
                </w:tcPr>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水资源利用效率要求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地下水开采要求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能源利用效率要求</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w:t>
                  </w:r>
                </w:p>
                <w:p>
                  <w:pPr>
                    <w:pStyle w:val="87"/>
                    <w:widowControl/>
                    <w:shd w:val="clear" w:color="auto" w:fill="FFFFFF"/>
                    <w:spacing w:line="240" w:lineRule="auto"/>
                    <w:ind w:firstLine="0" w:firstLineChars="0"/>
                    <w:jc w:val="left"/>
                    <w:rPr>
                      <w:rStyle w:val="23"/>
                      <w:rFonts w:hint="default" w:ascii="Times New Roman" w:hAnsi="Times New Roman" w:eastAsia="仿宋" w:cs="Times New Roman"/>
                      <w:kern w:val="2"/>
                      <w:sz w:val="21"/>
                      <w:szCs w:val="21"/>
                      <w:lang w:val="en-US" w:eastAsia="zh-CN" w:bidi="ar-SA"/>
                    </w:rPr>
                  </w:pPr>
                  <w:r>
                    <w:rPr>
                      <w:rStyle w:val="23"/>
                      <w:rFonts w:hint="default" w:ascii="Times New Roman" w:hAnsi="Times New Roman" w:eastAsia="仿宋" w:cs="Times New Roman"/>
                      <w:kern w:val="2"/>
                      <w:sz w:val="21"/>
                      <w:szCs w:val="21"/>
                      <w:lang w:val="en-US" w:eastAsia="zh-CN" w:bidi="ar-SA"/>
                    </w:rPr>
                    <w:t>其他资源利用效率要求</w:t>
                  </w:r>
                </w:p>
                <w:p>
                  <w:pPr>
                    <w:pStyle w:val="87"/>
                    <w:widowControl/>
                    <w:shd w:val="clear" w:color="auto" w:fill="FFFFFF"/>
                    <w:spacing w:line="240" w:lineRule="auto"/>
                    <w:ind w:firstLine="0" w:firstLineChars="0"/>
                    <w:jc w:val="left"/>
                    <w:rPr>
                      <w:rFonts w:hint="default" w:ascii="Times New Roman" w:hAnsi="Times New Roman" w:eastAsia="仿宋" w:cs="Times New Roman"/>
                      <w:sz w:val="21"/>
                      <w:szCs w:val="21"/>
                      <w:vertAlign w:val="baseline"/>
                    </w:rPr>
                  </w:pPr>
                  <w:r>
                    <w:rPr>
                      <w:rStyle w:val="23"/>
                      <w:rFonts w:hint="default" w:ascii="Times New Roman" w:hAnsi="Times New Roman" w:eastAsia="仿宋" w:cs="Times New Roman"/>
                      <w:kern w:val="2"/>
                      <w:sz w:val="21"/>
                      <w:szCs w:val="21"/>
                      <w:lang w:val="en-US" w:eastAsia="zh-CN" w:bidi="ar-SA"/>
                    </w:rPr>
                    <w:t>/</w:t>
                  </w:r>
                </w:p>
              </w:tc>
              <w:tc>
                <w:tcPr>
                  <w:tcW w:w="558" w:type="pct"/>
                </w:tcPr>
                <w:p>
                  <w:pPr>
                    <w:spacing w:line="240" w:lineRule="auto"/>
                    <w:rPr>
                      <w:rFonts w:hint="default" w:ascii="Times New Roman" w:hAnsi="Times New Roman" w:eastAsia="仿宋" w:cs="Times New Roman"/>
                      <w:sz w:val="21"/>
                      <w:szCs w:val="21"/>
                      <w:vertAlign w:val="baseline"/>
                    </w:rPr>
                  </w:pPr>
                  <w:r>
                    <w:rPr>
                      <w:rFonts w:hint="eastAsia" w:ascii="Times New Roman" w:hAnsi="Times New Roman" w:eastAsia="仿宋" w:cs="Times New Roman"/>
                      <w:sz w:val="21"/>
                      <w:szCs w:val="21"/>
                      <w:vertAlign w:val="baseline"/>
                      <w:lang w:val="en-US" w:eastAsia="zh-CN"/>
                    </w:rPr>
                    <w:t>/</w:t>
                  </w:r>
                </w:p>
              </w:tc>
              <w:tc>
                <w:tcPr>
                  <w:tcW w:w="385" w:type="pct"/>
                </w:tcPr>
                <w:p>
                  <w:pPr>
                    <w:spacing w:line="240" w:lineRule="auto"/>
                    <w:rPr>
                      <w:rFonts w:hint="default" w:ascii="Times New Roman" w:hAnsi="Times New Roman" w:eastAsia="仿宋" w:cs="Times New Roman"/>
                      <w:sz w:val="21"/>
                      <w:szCs w:val="21"/>
                      <w:vertAlign w:val="baseline"/>
                    </w:rPr>
                  </w:pPr>
                  <w:r>
                    <w:rPr>
                      <w:rFonts w:hint="eastAsia" w:ascii="Times New Roman" w:hAnsi="Times New Roman" w:eastAsia="仿宋" w:cs="Times New Roman"/>
                      <w:sz w:val="21"/>
                      <w:szCs w:val="21"/>
                      <w:vertAlign w:val="baseline"/>
                      <w:lang w:val="en-US" w:eastAsia="zh-CN"/>
                    </w:rPr>
                    <w:t>/</w:t>
                  </w:r>
                </w:p>
              </w:tc>
            </w:tr>
          </w:tbl>
          <w:p>
            <w:pPr>
              <w:spacing w:line="360" w:lineRule="auto"/>
              <w:outlineLvl w:val="0"/>
              <w:rPr>
                <w:rFonts w:hint="default" w:ascii="Times New Roman" w:hAnsi="Times New Roman" w:eastAsia="仿宋" w:cs="Times New Roman"/>
                <w:color w:val="auto"/>
                <w:sz w:val="30"/>
                <w:vertAlign w:val="baseline"/>
              </w:rPr>
            </w:pPr>
          </w:p>
        </w:tc>
      </w:tr>
    </w:tbl>
    <w:p>
      <w:pPr>
        <w:spacing w:line="360" w:lineRule="auto"/>
        <w:outlineLvl w:val="0"/>
        <w:rPr>
          <w:rFonts w:hint="default" w:ascii="Times New Roman" w:hAnsi="Times New Roman" w:eastAsia="仿宋" w:cs="Times New Roman"/>
          <w:color w:val="auto"/>
          <w:sz w:val="30"/>
        </w:rPr>
        <w:sectPr>
          <w:type w:val="continuous"/>
          <w:pgSz w:w="16838" w:h="11906" w:orient="landscape"/>
          <w:pgMar w:top="1531" w:right="1701" w:bottom="1531" w:left="1701" w:header="851" w:footer="1077" w:gutter="0"/>
          <w:cols w:space="720" w:num="1"/>
          <w:docGrid w:linePitch="312" w:charSpace="0"/>
        </w:sectPr>
      </w:pPr>
    </w:p>
    <w:p>
      <w:pPr>
        <w:spacing w:line="360" w:lineRule="auto"/>
        <w:outlineLvl w:val="0"/>
        <w:rPr>
          <w:rFonts w:hint="default" w:ascii="Times New Roman" w:hAnsi="Times New Roman" w:eastAsia="仿宋" w:cs="Times New Roman"/>
          <w:color w:val="auto"/>
          <w:sz w:val="30"/>
        </w:rPr>
        <w:sectPr>
          <w:type w:val="continuous"/>
          <w:pgSz w:w="11906" w:h="16838"/>
          <w:pgMar w:top="1701" w:right="1531" w:bottom="1701" w:left="1531" w:header="851" w:footer="1077" w:gutter="0"/>
          <w:cols w:space="720" w:num="1"/>
          <w:docGrid w:linePitch="312" w:charSpace="0"/>
        </w:sectPr>
      </w:pPr>
    </w:p>
    <w:tbl>
      <w:tblPr>
        <w:tblStyle w:val="21"/>
        <w:tblW w:w="9207" w:type="dxa"/>
        <w:tblInd w:w="-15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76"/>
        <w:gridCol w:w="76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57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其他符合性分析</w:t>
            </w:r>
          </w:p>
        </w:tc>
        <w:tc>
          <w:tcPr>
            <w:tcW w:w="7631" w:type="dxa"/>
            <w:tcMar>
              <w:top w:w="16" w:type="dxa"/>
              <w:left w:w="16" w:type="dxa"/>
              <w:right w:w="16" w:type="dxa"/>
            </w:tcMar>
            <w:vAlign w:val="center"/>
          </w:tcPr>
          <w:p>
            <w:r>
              <w:t>2、规划符合性分析</w:t>
              <w:br/>
              <w:t>（1）与产业政策相符性分析</w:t>
              <w:br/>
              <w:t>本工程类别属《产业结构调整指导目录（2024年本）》，风力发电属于允许类，符合国家产业政策。</w:t>
              <w:br/>
              <w:t>根据《中华人民共和国可再生能源法》第二条：本法所称可再生能源，是指风能、太阳能、水能、生物质能、地热能、海洋能等非化石能源；第十三条：国家鼓励和支持可再生能源并网发电。本工程符合国家相关法律规定。</w:t>
              <w:br/>
              <w:t>（2）与《四川省能源发展“十四五”规划》的符合性分析</w:t>
              <w:br/>
              <w:t>四川省人民政府于2022年3月发布了《四川省“十四五”能源发展规划》，《规划》中“第三章 统筹推进电源建设”、“第二节 加快发展新能源”中提出，“坚持集中式与分布式并举,加快发展风电和太阳能发电。重点推进凉山州风电基地和‘三州一市’光伏发电基地建设,规划建设金沙江上游、金沙江下游、雅砻江、大渡河中上游水风光一体化可再生能源综合开发基地，推进分布式光伏发电和盆周山区风电开发。开展实证实验光伏发电基地、光伏储能试点项目建设，推进整县(市、区)屋顶分布式光伏开发。因地制宜发展生物质能、地热能等新能源,在川西等高温地热资源丰富地区规划建设地热能利用示范项目。统筹规划建设生活垃圾焚烧发电处理设施。按照国家规划安排做好核电厂址保护工作。支持乐山、成都、眉山晶硅光伏产业发展。‘十四五’期间新增风电600万千瓦左右、太阳能发电1000万千瓦以上。”。巴中南江大河风电项目所在的四川省巴中市属于风能资源丰富区，工程任务是合理利用风能资源，有效提高四川省风能资源的开发利用。因此，本工程的建设与《四川省能源发展“十四五”规划》相符。</w:t>
              <w:br/>
              <w:t>（3）与《全国生态功能区划》符合性分析</w:t>
              <w:br/>
              <w:t>根据《全国生态功能区划》（2015年），本项目所在地属于秦岭-大巴山生物多样性保护与水源涵养重要区，本区域主要生态问题和生态保护主要措施如下：</w:t>
              <w:br/>
              <w:t>主要生态问题：该区森林质量与水源涵养功能较低，水电、矿产等资源开发的生态破坏较严重，地质灾害威胁严重，野生动植物栖息地质量下降、破碎化加剧，生物多样性受到威胁。</w:t>
              <w:br/>
              <w:t>生态保护主要措施：加强已有自然保护区保护和天然林管护力度;对已破坏的生态系统，要结合有关生态建设工程，做好生态恢复与重建工作，增强生态系统水源涵养和土壤保持功能;停止导致生态功能继续退化的开发活动和其他人为破坏活动;严格矿产资源水电资源开发的监管;控制人口增长，改变粗放生产经营方式，发展生态旅游和特色产业。</w:t>
              <w:br/>
              <w:t>拟建风电场不涉及自然保护区与森林公园、风景名胜区，主要占用林地、其他草地等，该区域内植物均为当地常见种，在施工结束后进行绿化恢复可以使区域植被向有利于生态环境的方向发展，对物种多样性产生的影响较小；其次，风能属于新能源、清洁能源，对环境的污染小。再次，工程建设前进行了科学的论证并撰写了环境影响报告影响表、制定了相关水土保持方案，预测了可能会产生的环境问题，提出了有效的减免措施和补偿措施。因此，在严格执行相关保持措施，控制施工范围、做好临时占地区域植被恢复、永久占地区域内植被绿化后，本项目建设对自然植被的破坏程度、对生物多样性、水土流失的影响有限。</w:t>
              <w:br/>
              <w:t>因此，本项目与该区域生态功能区划是基本协调的。</w:t>
              <w:br/>
              <w:t>（4）与土地利用规划相符性分析</w:t>
              <w:br/>
              <w:t>根据巴中市自然资源和规划局出具的《建设项目用地预审与选址意见书》，项目升压站和风机永久占地已取得用地预审与选址意见书，符合当地土地利用规划。</w:t>
              <w:br/>
              <w:t>（5）与《国家林业和草原局关于规范风电项目建设使用林地的通知》的相符性分析</w:t>
              <w:br/>
              <w:t>国家林业和草原局于2019年2月26日发布了《国家林业和草原局关于规范风电项目建设使用林地的通知》（林资发[2019]17号），《通知》中对风电场项目建设使用林地的有关事项进行了要求。</w:t>
              <w:br/>
              <w:t>“二、风电场建设使用林地禁建区域  严格保护生态功能重要、生态脆弱敏感区域的林地。自然遗产地、国家公园、自然保护区、森林公园、湿地公园、地质公园、风景名胜区、鸟类主要迁徙通道和迁徙地等区域以及沿海基干林带和消浪林带，为风电场项目禁止建设区域。”</w:t>
              <w:br/>
              <w:t>“三、风电场建设使用林地限制范围  风电场建设应当集约使用林地。风机基础、施工和检修道路、升压站、集电线路等，禁止占用天然乔木林（竹林）地、年降雨量400毫米以下区域的有林地、一级国家级公益林地和二级国家级公益林中的有林地。本通知下发之前已经核准但未取得使用林地手续的风电场项目，要重新合理优化选址和建设方案，加强生态影响分析和评估，不得占用年降雨量400毫米以下区域的有林地和一级国家级公益林，避让二级国家级公益林中有林地集中区域。”</w:t>
              <w:br/>
              <w:t>“四、强化风电场道路建设和临时用地管理风电场施工和检修道路，应尽可能利用现有森林防火道路、林区道路、乡村道路等道路，在其基础上扩建的风电场道路原则上不得改变现有道路性质。风电场新建配套道路应与风电场一同办理林地使用手续，风电场配套道路要严格控制道路宽度，提高标准，合理建设排水沟、过水涵洞、挡土墙等设施；严格按照设计规范施工，禁止强推强挖式放坡施工，防止废弃砂石任意放置和随意滚落，同步实施水土保持和恢复林业生产条件的措施。吊装平台、施工道路、集电线路等临时占用林地的，应在临时占用林地期满后一年内恢复林业生产条件，并及时恢复植被。”</w:t>
              <w:br/>
              <w:t>本工程不涉及“第二条”与“第三条”中规定的禁止占用林地。本工程水土保持方案及本环评中已制定了相应的施工临时用地防护措施及恢复措施，水土保持方案及本环评中拟定的施工临时用地防护措施及恢复措施的基础上，风电场所在区域生态环境能及时得到恢复。综上所述，本工程与《国家林业和草原局关于规范风电项目建设使用林地的通知》的相关规定是相符的。</w:t>
              <w:br/>
              <w:t>（6）与《四川省天然林保护条例》相符性分析</w:t>
              <w:br/>
              <w:t>《四川省天然林保护条例》中“第十八条”规定：勘查、开采矿藏和从事各项工程建设，确需征用、占用天然林林地的，应经省级以上林业主管部门审核同意，并依照有关法律法规的规定缴纳林地补偿、安置补助等费用，办理用地手续。</w:t>
              <w:br/>
              <w:t>本工程风电场占地范围内不涉及天然林，本环评对本工程风电场建设期和运行过程中对大气、水、声环境、固体废物、生态环境等产生的影响并针对性的提出了相应的污染防治、生态减缓及恢复措施，在严格执行本环评拟定的各项污染防治措施、生态减缓及恢复措施，落实水土保持方案报告书的基础上，本工程的建设及运行不会对天然林造成影响。因此，本项目与《四川省天然林保护条例》是相符的。</w:t>
              <w:br/>
              <w:br/>
              <w:br/>
              <w:br/>
            </w:r>
          </w:p>
        </w:tc>
      </w:tr>
    </w:tbl>
    <w:p>
      <w:pPr>
        <w:spacing w:line="360" w:lineRule="auto"/>
        <w:outlineLvl w:val="0"/>
        <w:rPr>
          <w:rFonts w:hint="default" w:ascii="Times New Roman" w:hAnsi="Times New Roman" w:eastAsia="仿宋" w:cs="Times New Roman"/>
          <w:color w:val="auto"/>
          <w:sz w:val="30"/>
        </w:rPr>
      </w:pPr>
    </w:p>
    <w:p>
      <w:pPr>
        <w:spacing w:line="360" w:lineRule="auto"/>
        <w:outlineLvl w:val="0"/>
        <w:rPr>
          <w:rFonts w:hint="default" w:ascii="Times New Roman" w:hAnsi="Times New Roman" w:eastAsia="仿宋" w:cs="Times New Roman"/>
          <w:color w:val="auto"/>
          <w:sz w:val="30"/>
        </w:rPr>
      </w:pPr>
    </w:p>
    <w:p>
      <w:pPr>
        <w:spacing w:line="360" w:lineRule="auto"/>
        <w:outlineLvl w:val="0"/>
        <w:rPr>
          <w:rFonts w:hint="default" w:ascii="Times New Roman" w:hAnsi="Times New Roman" w:eastAsia="仿宋" w:cs="Times New Roman"/>
          <w:color w:val="auto"/>
          <w:sz w:val="30"/>
        </w:rPr>
        <w:sectPr>
          <w:type w:val="continuous"/>
          <w:pgSz w:w="11906" w:h="16838"/>
          <w:pgMar w:top="1701" w:right="1531" w:bottom="1701" w:left="1531" w:header="851" w:footer="1077" w:gutter="0"/>
          <w:cols w:space="720" w:num="1"/>
          <w:docGrid w:linePitch="312" w:charSpace="0"/>
        </w:sectPr>
      </w:pPr>
    </w:p>
    <w:p>
      <w:pPr>
        <w:pStyle w:val="17"/>
        <w:jc w:val="center"/>
        <w:outlineLvl w:val="0"/>
        <w:rPr>
          <w:rFonts w:hint="default" w:ascii="黑体" w:hAnsi="黑体" w:eastAsia="黑体" w:cs="黑体"/>
          <w:snapToGrid w:val="0"/>
          <w:color w:val="auto"/>
          <w:sz w:val="30"/>
          <w:szCs w:val="30"/>
        </w:rPr>
      </w:pPr>
      <w:bookmarkStart w:id="5" w:name="_Toc66980725"/>
      <w:r>
        <w:rPr>
          <w:rFonts w:hint="default" w:ascii="黑体" w:hAnsi="黑体" w:eastAsia="黑体" w:cs="黑体"/>
          <w:snapToGrid w:val="0"/>
          <w:color w:val="auto"/>
          <w:sz w:val="30"/>
          <w:szCs w:val="30"/>
        </w:rPr>
        <w:t>二、建设内容</w:t>
      </w:r>
      <w:bookmarkEnd w:id="5"/>
    </w:p>
    <w:tbl>
      <w:tblPr>
        <w:tblStyle w:val="21"/>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85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564"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地理位置</w:t>
            </w:r>
          </w:p>
        </w:tc>
        <w:tc>
          <w:tcPr>
            <w:tcW w:w="8526" w:type="dxa"/>
            <w:vAlign w:val="center"/>
          </w:tcPr>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本项目位于</w:t>
            </w:r>
            <w:r>
              <w:rPr>
                <w:rFonts w:hint="eastAsia" w:eastAsia="仿宋" w:cs="Times New Roman"/>
                <w:color w:val="auto"/>
                <w:kern w:val="0"/>
                <w:sz w:val="24"/>
                <w:lang w:eastAsia="zh-CN"/>
              </w:rPr>
              <w:t>四川</w:t>
            </w:r>
            <w:r>
              <w:rPr>
                <w:rFonts w:hint="default" w:ascii="Times New Roman" w:hAnsi="Times New Roman" w:eastAsia="仿宋" w:cs="Times New Roman"/>
                <w:color w:val="auto"/>
                <w:kern w:val="0"/>
                <w:sz w:val="24"/>
              </w:rPr>
              <w:t>省位于</w:t>
            </w:r>
            <w:r>
              <w:rPr>
                <w:rFonts w:hint="eastAsia" w:eastAsia="仿宋" w:cs="Times New Roman"/>
                <w:color w:val="auto"/>
                <w:kern w:val="0"/>
                <w:sz w:val="24"/>
                <w:lang w:eastAsia="zh-CN"/>
              </w:rPr>
              <w:t>巴中市南江县</w:t>
            </w:r>
            <w:r>
              <w:rPr>
                <w:rFonts w:hint="default" w:ascii="Times New Roman" w:hAnsi="Times New Roman" w:eastAsia="仿宋" w:cs="Times New Roman"/>
                <w:color w:val="auto"/>
                <w:kern w:val="0"/>
                <w:sz w:val="24"/>
              </w:rPr>
              <w:t>境内，</w:t>
            </w:r>
            <w:r>
              <w:rPr>
                <w:rFonts w:hint="eastAsia" w:eastAsia="仿宋" w:cs="Times New Roman"/>
                <w:color w:val="auto"/>
                <w:kern w:val="0"/>
                <w:sz w:val="24"/>
                <w:lang w:val="en-US" w:eastAsia="zh-CN"/>
              </w:rPr>
              <w:t>场址中心</w:t>
            </w:r>
            <w:r>
              <w:rPr>
                <w:rFonts w:hint="default" w:ascii="Times New Roman" w:hAnsi="Times New Roman" w:eastAsia="仿宋" w:cs="Times New Roman"/>
                <w:color w:val="auto"/>
                <w:kern w:val="0"/>
                <w:sz w:val="24"/>
              </w:rPr>
              <w:t>距</w:t>
            </w:r>
            <w:r>
              <w:rPr>
                <w:rFonts w:hint="eastAsia" w:eastAsia="仿宋" w:cs="Times New Roman"/>
                <w:color w:val="auto"/>
                <w:kern w:val="0"/>
                <w:sz w:val="24"/>
                <w:lang w:eastAsia="zh-CN"/>
              </w:rPr>
              <w:t>巴中市南江县</w:t>
            </w:r>
            <w:r>
              <w:rPr>
                <w:rFonts w:hint="default" w:ascii="Times New Roman" w:hAnsi="Times New Roman" w:eastAsia="仿宋" w:cs="Times New Roman"/>
                <w:color w:val="auto"/>
                <w:kern w:val="0"/>
                <w:sz w:val="24"/>
              </w:rPr>
              <w:t>城约</w:t>
            </w:r>
            <w:r>
              <w:rPr>
                <w:rFonts w:hint="eastAsia" w:eastAsia="仿宋" w:cs="Times New Roman"/>
                <w:color w:val="auto"/>
                <w:kern w:val="0"/>
                <w:sz w:val="24"/>
                <w:lang w:val="en-US" w:eastAsia="zh-CN"/>
              </w:rPr>
              <w:t>3</w:t>
            </w:r>
            <w:r>
              <w:rPr>
                <w:rFonts w:hint="eastAsia" w:ascii="Times New Roman" w:hAnsi="Times New Roman" w:eastAsia="仿宋" w:cs="Times New Roman"/>
                <w:color w:val="auto"/>
                <w:kern w:val="0"/>
                <w:sz w:val="24"/>
                <w:lang w:val="en-US" w:eastAsia="zh-CN"/>
              </w:rPr>
              <w:t>0</w:t>
            </w:r>
            <w:r>
              <w:rPr>
                <w:rFonts w:hint="default" w:ascii="Times New Roman" w:hAnsi="Times New Roman" w:eastAsia="仿宋" w:cs="Times New Roman"/>
                <w:color w:val="auto"/>
                <w:kern w:val="0"/>
                <w:sz w:val="24"/>
              </w:rPr>
              <w:t>km，场址</w:t>
            </w:r>
            <w:r>
              <w:rPr>
                <w:rFonts w:hint="eastAsia" w:eastAsia="仿宋" w:cs="Times New Roman"/>
                <w:color w:val="auto"/>
                <w:kern w:val="0"/>
                <w:sz w:val="24"/>
                <w:lang w:val="en-US" w:eastAsia="zh-CN"/>
              </w:rPr>
              <w:t>位于大河镇、高桥镇一带</w:t>
            </w:r>
            <w:r>
              <w:rPr>
                <w:rFonts w:hint="default" w:ascii="Times New Roman" w:hAnsi="Times New Roman" w:eastAsia="仿宋" w:cs="Times New Roman"/>
                <w:color w:val="auto"/>
                <w:kern w:val="0"/>
                <w:sz w:val="24"/>
              </w:rPr>
              <w:t>，海拔高程在</w:t>
            </w:r>
            <w:r>
              <w:rPr>
                <w:rFonts w:hint="eastAsia" w:eastAsia="仿宋" w:cs="Times New Roman"/>
                <w:color w:val="auto"/>
                <w:kern w:val="0"/>
                <w:sz w:val="24"/>
                <w:lang w:val="en-US" w:eastAsia="zh-CN"/>
              </w:rPr>
              <w:t>1200~1500</w:t>
            </w:r>
            <w:r>
              <w:rPr>
                <w:rFonts w:hint="default" w:ascii="Times New Roman" w:hAnsi="Times New Roman" w:eastAsia="仿宋" w:cs="Times New Roman"/>
                <w:color w:val="auto"/>
                <w:kern w:val="0"/>
                <w:sz w:val="24"/>
              </w:rPr>
              <w:t>m之间，风电场临近</w:t>
            </w:r>
            <w:r>
              <w:rPr>
                <w:rFonts w:hint="eastAsia" w:eastAsia="仿宋" w:cs="Times New Roman"/>
                <w:color w:val="auto"/>
                <w:sz w:val="24"/>
                <w:lang w:eastAsia="zh-CN"/>
              </w:rPr>
              <w:t>X29县道</w:t>
            </w:r>
            <w:r>
              <w:rPr>
                <w:rFonts w:hint="eastAsia" w:eastAsia="仿宋" w:cs="Times New Roman"/>
                <w:color w:val="auto"/>
                <w:sz w:val="24"/>
                <w:lang w:val="en-US" w:eastAsia="zh-CN"/>
              </w:rPr>
              <w:t>、G85巴陕高速</w:t>
            </w:r>
            <w:r>
              <w:rPr>
                <w:rFonts w:hint="default" w:ascii="Times New Roman" w:hAnsi="Times New Roman" w:eastAsia="仿宋" w:cs="Times New Roman"/>
                <w:color w:val="auto"/>
                <w:kern w:val="0"/>
                <w:sz w:val="24"/>
              </w:rPr>
              <w:t>，物资和材料运输充分利用现有道路。</w:t>
            </w:r>
          </w:p>
          <w:p>
            <w:pPr>
              <w:adjustRightInd w:val="0"/>
              <w:snapToGrid w:val="0"/>
              <w:spacing w:line="360" w:lineRule="auto"/>
              <w:ind w:firstLine="480" w:firstLineChars="200"/>
              <w:rPr>
                <w:rFonts w:hint="eastAsia" w:ascii="Times New Roman" w:hAnsi="Times New Roman" w:eastAsia="仿宋" w:cs="Times New Roman"/>
                <w:color w:val="auto"/>
                <w:kern w:val="0"/>
                <w:sz w:val="24"/>
                <w:lang w:eastAsia="zh-CN"/>
              </w:rPr>
            </w:pPr>
            <w:r>
              <w:rPr>
                <w:rFonts w:hint="default" w:ascii="Times New Roman" w:hAnsi="Times New Roman" w:eastAsia="仿宋" w:cs="Times New Roman"/>
                <w:color w:val="auto"/>
                <w:kern w:val="0"/>
                <w:sz w:val="24"/>
              </w:rPr>
              <w:t>本工程地理位置详见下图2-1。</w:t>
            </w:r>
          </w:p>
          <w:p>
            <w:pPr>
              <w:adjustRightInd w:val="0"/>
              <w:snapToGrid w:val="0"/>
              <w:jc w:val="center"/>
              <w:rPr>
                <w:rFonts w:hint="eastAsia" w:ascii="Times New Roman" w:hAnsi="Times New Roman" w:eastAsia="仿宋" w:cs="Times New Roman"/>
                <w:color w:val="auto"/>
                <w:kern w:val="0"/>
                <w:sz w:val="24"/>
                <w:lang w:eastAsia="zh-CN"/>
              </w:rPr>
            </w:pPr>
            <w:r>
              <w:rPr>
                <w:rFonts w:hint="default" w:ascii="Times New Roman" w:hAnsi="Times New Roman" w:eastAsia="仿宋" w:cs="Times New Roman"/>
                <w:color w:val="auto"/>
                <w:kern w:val="0"/>
                <w:sz w:val="24"/>
              </w:rPr>
              <w:drawing>
                <wp:anchor distT="0" distB="0" distL="114300" distR="114300" simplePos="0" relativeHeight="251664384" behindDoc="0" locked="0" layoutInCell="1" allowOverlap="1">
                  <wp:simplePos x="0" y="0"/>
                  <wp:positionH relativeFrom="column">
                    <wp:posOffset>165100</wp:posOffset>
                  </wp:positionH>
                  <wp:positionV relativeFrom="paragraph">
                    <wp:posOffset>12700</wp:posOffset>
                  </wp:positionV>
                  <wp:extent cx="382270" cy="663575"/>
                  <wp:effectExtent l="0" t="0" r="17780" b="3175"/>
                  <wp:wrapNone/>
                  <wp:docPr id="27" name="图片 27"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指北针"/>
                          <pic:cNvPicPr>
                            <a:picLocks noChangeAspect="1"/>
                          </pic:cNvPicPr>
                        </pic:nvPicPr>
                        <pic:blipFill>
                          <a:blip r:embed="rId11"/>
                          <a:stretch>
                            <a:fillRect/>
                          </a:stretch>
                        </pic:blipFill>
                        <pic:spPr>
                          <a:xfrm>
                            <a:off x="0" y="0"/>
                            <a:ext cx="382270" cy="663575"/>
                          </a:xfrm>
                          <a:prstGeom prst="rect">
                            <a:avLst/>
                          </a:prstGeom>
                        </pic:spPr>
                      </pic:pic>
                    </a:graphicData>
                  </a:graphic>
                </wp:anchor>
              </w:drawing>
            </w:r>
            <w:r>
              <w:rPr>
                <w:sz w:val="24"/>
              </w:rPr>
              <mc:AlternateContent>
                <mc:Choice Requires="wps">
                  <w:drawing>
                    <wp:anchor distT="0" distB="0" distL="114300" distR="114300" simplePos="0" relativeHeight="251665408" behindDoc="0" locked="0" layoutInCell="1" allowOverlap="1">
                      <wp:simplePos x="0" y="0"/>
                      <wp:positionH relativeFrom="column">
                        <wp:posOffset>2083435</wp:posOffset>
                      </wp:positionH>
                      <wp:positionV relativeFrom="paragraph">
                        <wp:posOffset>1525905</wp:posOffset>
                      </wp:positionV>
                      <wp:extent cx="1071245" cy="293370"/>
                      <wp:effectExtent l="4445" t="4445" r="10160" b="673735"/>
                      <wp:wrapNone/>
                      <wp:docPr id="29" name="圆角矩形标注 29"/>
                      <wp:cNvGraphicFramePr/>
                      <a:graphic xmlns:a="http://schemas.openxmlformats.org/drawingml/2006/main">
                        <a:graphicData uri="http://schemas.microsoft.com/office/word/2010/wordprocessingShape">
                          <wps:wsp>
                            <wps:cNvSpPr/>
                            <wps:spPr>
                              <a:xfrm>
                                <a:off x="3404235" y="4241165"/>
                                <a:ext cx="1071245" cy="293370"/>
                              </a:xfrm>
                              <a:prstGeom prst="wedgeRoundRectCallout">
                                <a:avLst>
                                  <a:gd name="adj1" fmla="val 8091"/>
                                  <a:gd name="adj2" fmla="val 268181"/>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4.05pt;margin-top:120.15pt;height:23.1pt;width:84.35pt;z-index:251665408;v-text-anchor:middle;mso-width-relative:page;mso-height-relative:page;" fillcolor="#FFFFFF [3212]" filled="t" stroked="t" coordsize="21600,21600" o:gfxdata="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f4YZ7ZAAAACwEAAA8AAAAAAAAAAQAgAAAAIgAAAGRycy9kb3ducmV2LnhtbFBLAQIUABQAAAAI&#10;AIdO4kDjXGdA0AIAAJ4FAAAOAAAAAAAAAAEAIAAAACgBAABkcnMvZTJvRG9jLnhtbFBLBQYAAAAA&#10;BgAGAFkBAABqBgAAAAA=&#10;" adj="12548,68727,14400">
                      <v:fill on="t" focussize="0,0"/>
                      <v:stroke weight="0.5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项目所在位置</w:t>
                            </w:r>
                          </w:p>
                        </w:txbxContent>
                      </v:textbox>
                    </v:shape>
                  </w:pict>
                </mc:Fallback>
              </mc:AlternateContent>
            </w:r>
            <w:r>
              <w:rPr>
                <w:rFonts w:hint="eastAsia" w:ascii="Times New Roman" w:hAnsi="Times New Roman" w:eastAsia="仿宋" w:cs="Times New Roman"/>
                <w:color w:val="auto"/>
                <w:kern w:val="0"/>
                <w:sz w:val="24"/>
                <w:lang w:eastAsia="zh-CN"/>
              </w:rPr>
              <w:drawing>
                <wp:inline distT="0" distB="0" distL="114300" distR="114300">
                  <wp:extent cx="4947920" cy="3459480"/>
                  <wp:effectExtent l="9525" t="9525" r="14605" b="17145"/>
                  <wp:docPr id="24" name="图片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
                          <pic:cNvPicPr>
                            <a:picLocks noChangeAspect="1"/>
                          </pic:cNvPicPr>
                        </pic:nvPicPr>
                        <pic:blipFill>
                          <a:blip r:embed="rId12"/>
                          <a:srcRect r="31905"/>
                          <a:stretch>
                            <a:fillRect/>
                          </a:stretch>
                        </pic:blipFill>
                        <pic:spPr>
                          <a:xfrm>
                            <a:off x="0" y="0"/>
                            <a:ext cx="4947920" cy="3459480"/>
                          </a:xfrm>
                          <a:prstGeom prst="rect">
                            <a:avLst/>
                          </a:prstGeom>
                          <a:ln w="6350" cmpd="sng">
                            <a:solidFill>
                              <a:schemeClr val="tx1"/>
                            </a:solidFill>
                            <a:prstDash val="solid"/>
                          </a:ln>
                        </pic:spPr>
                      </pic:pic>
                    </a:graphicData>
                  </a:graphic>
                </wp:inline>
              </w:drawing>
            </w:r>
          </w:p>
          <w:p>
            <w:pPr>
              <w:adjustRightInd w:val="0"/>
              <w:snapToGrid w:val="0"/>
              <w:jc w:val="center"/>
              <w:rPr>
                <w:rFonts w:hint="default" w:ascii="Times New Roman" w:hAnsi="Times New Roman" w:eastAsia="仿宋" w:cs="Times New Roman"/>
                <w:b/>
                <w:color w:val="auto"/>
                <w:kern w:val="0"/>
                <w:sz w:val="24"/>
              </w:rPr>
            </w:pPr>
            <w:r>
              <w:rPr>
                <w:rFonts w:hint="default" w:ascii="Times New Roman" w:hAnsi="Times New Roman" w:eastAsia="仿宋" w:cs="Times New Roman"/>
                <w:b/>
                <w:color w:val="auto"/>
                <w:kern w:val="0"/>
                <w:szCs w:val="21"/>
              </w:rPr>
              <w:t>图2-1  项目地理位置示意图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64" w:type="dxa"/>
            <w:vAlign w:val="center"/>
          </w:tcPr>
          <w:p>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项目组成及规模</w:t>
            </w:r>
          </w:p>
        </w:tc>
        <w:tc>
          <w:tcPr>
            <w:tcW w:w="8526" w:type="dxa"/>
            <w:vAlign w:val="center"/>
          </w:tcPr>
          <w:p>
            <w:pPr>
              <w:adjustRightInd w:val="0"/>
              <w:snapToGrid w:val="0"/>
              <w:spacing w:line="360" w:lineRule="auto"/>
              <w:rPr>
                <w:rFonts w:hint="default" w:ascii="Times New Roman" w:hAnsi="Times New Roman" w:eastAsia="仿宋" w:cs="Times New Roman"/>
                <w:b/>
                <w:color w:val="auto"/>
                <w:kern w:val="0"/>
                <w:sz w:val="24"/>
                <w:lang w:val="en-US" w:eastAsia="zh-CN"/>
              </w:rPr>
            </w:pPr>
            <w:r>
              <w:rPr>
                <w:rFonts w:hint="default" w:ascii="Times New Roman" w:hAnsi="Times New Roman" w:eastAsia="仿宋" w:cs="Times New Roman"/>
                <w:b/>
                <w:color w:val="auto"/>
                <w:kern w:val="0"/>
                <w:sz w:val="24"/>
              </w:rPr>
              <w:t>1、</w:t>
            </w:r>
            <w:r>
              <w:rPr>
                <w:rFonts w:hint="eastAsia" w:eastAsia="仿宋" w:cs="Times New Roman"/>
                <w:b/>
                <w:color w:val="auto"/>
                <w:kern w:val="0"/>
                <w:sz w:val="24"/>
                <w:lang w:val="en-US" w:eastAsia="zh-CN"/>
              </w:rPr>
              <w:t>项目由来</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风力发电是风能利用的重要形式，风能是可再生、无污染、能量大、前景广的能源，大力发展清洁能源是世界各国的战略选择。风力发电符合可持续发展的原则，是国家能源战略的重要体现，有利于缓解环境保护压力，实现经济与环境的协调发展。</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eastAsia" w:eastAsia="仿宋" w:cs="Times New Roman"/>
                <w:color w:val="auto"/>
                <w:kern w:val="0"/>
                <w:sz w:val="24"/>
                <w:lang w:eastAsia="zh-CN"/>
              </w:rPr>
              <w:t>华润风电（巴中）有限公司</w:t>
            </w:r>
            <w:r>
              <w:rPr>
                <w:rFonts w:hint="default" w:ascii="Times New Roman" w:hAnsi="Times New Roman" w:eastAsia="仿宋" w:cs="Times New Roman"/>
                <w:color w:val="auto"/>
                <w:kern w:val="0"/>
                <w:sz w:val="24"/>
              </w:rPr>
              <w:t>拟在</w:t>
            </w:r>
            <w:r>
              <w:rPr>
                <w:rFonts w:hint="eastAsia" w:eastAsia="仿宋" w:cs="Times New Roman"/>
                <w:color w:val="auto"/>
                <w:kern w:val="0"/>
                <w:sz w:val="24"/>
                <w:lang w:val="en-US" w:eastAsia="zh-CN"/>
              </w:rPr>
              <w:t>四川省巴中市南江县</w:t>
            </w:r>
            <w:r>
              <w:rPr>
                <w:rFonts w:hint="default" w:ascii="Times New Roman" w:hAnsi="Times New Roman" w:eastAsia="仿宋" w:cs="Times New Roman"/>
                <w:color w:val="auto"/>
                <w:kern w:val="0"/>
                <w:sz w:val="24"/>
              </w:rPr>
              <w:t>境内建设</w:t>
            </w:r>
            <w:r>
              <w:rPr>
                <w:rFonts w:hint="eastAsia" w:eastAsia="仿宋" w:cs="Times New Roman"/>
                <w:color w:val="auto"/>
                <w:kern w:val="0"/>
                <w:sz w:val="24"/>
                <w:lang w:eastAsia="zh-CN"/>
              </w:rPr>
              <w:t>巴中南江大河风电项目</w:t>
            </w:r>
            <w:r>
              <w:rPr>
                <w:rFonts w:hint="default" w:ascii="Times New Roman" w:hAnsi="Times New Roman" w:eastAsia="仿宋" w:cs="Times New Roman"/>
                <w:color w:val="auto"/>
                <w:kern w:val="0"/>
                <w:sz w:val="24"/>
              </w:rPr>
              <w:t>。</w:t>
            </w:r>
            <w:r>
              <w:rPr>
                <w:rFonts w:hint="eastAsia" w:eastAsia="仿宋" w:cs="Times New Roman"/>
                <w:color w:val="auto"/>
                <w:kern w:val="0"/>
                <w:sz w:val="24"/>
                <w:lang w:eastAsia="zh-CN"/>
              </w:rPr>
              <w:t>巴中南江大河风电项目</w:t>
            </w:r>
            <w:r>
              <w:rPr>
                <w:rFonts w:hint="default" w:ascii="Times New Roman" w:hAnsi="Times New Roman" w:eastAsia="仿宋" w:cs="Times New Roman"/>
                <w:color w:val="auto"/>
                <w:kern w:val="0"/>
                <w:sz w:val="24"/>
              </w:rPr>
              <w:t>可布机位点轮毂高度</w:t>
            </w:r>
            <w:r>
              <w:rPr>
                <w:rFonts w:hint="eastAsia" w:eastAsia="仿宋" w:cs="Times New Roman"/>
                <w:color w:val="auto"/>
                <w:kern w:val="0"/>
                <w:sz w:val="24"/>
                <w:lang w:val="en-US" w:eastAsia="zh-CN"/>
              </w:rPr>
              <w:t>115</w:t>
            </w:r>
            <w:r>
              <w:rPr>
                <w:rFonts w:hint="default" w:ascii="Times New Roman" w:hAnsi="Times New Roman" w:eastAsia="仿宋" w:cs="Times New Roman"/>
                <w:color w:val="auto"/>
                <w:kern w:val="0"/>
                <w:sz w:val="24"/>
              </w:rPr>
              <w:t>m</w:t>
            </w:r>
            <w:r>
              <w:rPr>
                <w:rFonts w:hint="eastAsia" w:eastAsia="仿宋" w:cs="Times New Roman"/>
                <w:color w:val="auto"/>
                <w:kern w:val="0"/>
                <w:sz w:val="24"/>
                <w:lang w:eastAsia="zh-CN"/>
              </w:rPr>
              <w:t>，</w:t>
            </w:r>
            <w:r>
              <w:rPr>
                <w:rFonts w:hint="default" w:ascii="Times New Roman" w:hAnsi="Times New Roman" w:eastAsia="仿宋" w:cs="Times New Roman"/>
                <w:color w:val="auto"/>
                <w:kern w:val="0"/>
                <w:sz w:val="24"/>
              </w:rPr>
              <w:t>年平均风速为4.</w:t>
            </w:r>
            <w:r>
              <w:rPr>
                <w:rFonts w:hint="eastAsia" w:eastAsia="仿宋" w:cs="Times New Roman"/>
                <w:color w:val="auto"/>
                <w:kern w:val="0"/>
                <w:sz w:val="24"/>
                <w:lang w:val="en-US" w:eastAsia="zh-CN"/>
              </w:rPr>
              <w:t>77</w:t>
            </w:r>
            <w:r>
              <w:rPr>
                <w:rFonts w:hint="default" w:ascii="Times New Roman" w:hAnsi="Times New Roman" w:eastAsia="仿宋" w:cs="Times New Roman"/>
                <w:color w:val="auto"/>
                <w:kern w:val="0"/>
                <w:sz w:val="24"/>
              </w:rPr>
              <w:t>m/s，年平均风功率密度为</w:t>
            </w:r>
            <w:r>
              <w:rPr>
                <w:rFonts w:hint="eastAsia" w:eastAsia="仿宋" w:cs="Times New Roman"/>
                <w:color w:val="auto"/>
                <w:kern w:val="0"/>
                <w:sz w:val="24"/>
                <w:lang w:val="en-US" w:eastAsia="zh-CN"/>
              </w:rPr>
              <w:t>277</w:t>
            </w:r>
            <w:r>
              <w:rPr>
                <w:rFonts w:hint="default" w:ascii="Times New Roman" w:hAnsi="Times New Roman" w:eastAsia="仿宋" w:cs="Times New Roman"/>
                <w:color w:val="auto"/>
                <w:kern w:val="0"/>
                <w:sz w:val="24"/>
              </w:rPr>
              <w:t>W/m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风功率密度等级为D-1级，风电场具有一定的开发价值。本项目的建设不仅可以提供大量绿色电能，还会促进地区相关产业发展，改善本省电网的能源结构，保护环境，促进旅游业，为当地带来综合的经济社会效益。</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本工程风电场场址位于</w:t>
            </w:r>
            <w:r>
              <w:rPr>
                <w:rFonts w:hint="eastAsia" w:eastAsia="仿宋" w:cs="Times New Roman"/>
                <w:color w:val="auto"/>
                <w:kern w:val="0"/>
                <w:sz w:val="24"/>
                <w:lang w:val="en-US" w:eastAsia="zh-CN"/>
              </w:rPr>
              <w:t>南江县</w:t>
            </w:r>
            <w:r>
              <w:rPr>
                <w:rFonts w:hint="default" w:ascii="Times New Roman" w:hAnsi="Times New Roman" w:eastAsia="仿宋" w:cs="Times New Roman"/>
                <w:color w:val="auto"/>
                <w:kern w:val="0"/>
                <w:sz w:val="24"/>
              </w:rPr>
              <w:t>东</w:t>
            </w:r>
            <w:r>
              <w:rPr>
                <w:rFonts w:hint="eastAsia" w:eastAsia="仿宋" w:cs="Times New Roman"/>
                <w:color w:val="auto"/>
                <w:kern w:val="0"/>
                <w:sz w:val="24"/>
                <w:lang w:val="en-US" w:eastAsia="zh-CN"/>
              </w:rPr>
              <w:t>南</w:t>
            </w:r>
            <w:r>
              <w:rPr>
                <w:rFonts w:hint="default" w:ascii="Times New Roman" w:hAnsi="Times New Roman" w:eastAsia="仿宋" w:cs="Times New Roman"/>
                <w:color w:val="auto"/>
                <w:kern w:val="0"/>
                <w:sz w:val="24"/>
              </w:rPr>
              <w:t>，机位点较分散，场址中心距离</w:t>
            </w:r>
            <w:r>
              <w:rPr>
                <w:rFonts w:hint="eastAsia" w:eastAsia="仿宋" w:cs="Times New Roman"/>
                <w:color w:val="auto"/>
                <w:kern w:val="0"/>
                <w:sz w:val="24"/>
                <w:lang w:val="en-US" w:eastAsia="zh-CN"/>
              </w:rPr>
              <w:t>南江县</w:t>
            </w:r>
            <w:r>
              <w:rPr>
                <w:rFonts w:hint="default" w:ascii="Times New Roman" w:hAnsi="Times New Roman" w:eastAsia="仿宋" w:cs="Times New Roman"/>
                <w:color w:val="auto"/>
                <w:kern w:val="0"/>
                <w:sz w:val="24"/>
              </w:rPr>
              <w:t>约</w:t>
            </w:r>
            <w:r>
              <w:rPr>
                <w:rFonts w:hint="eastAsia" w:eastAsia="仿宋" w:cs="Times New Roman"/>
                <w:color w:val="auto"/>
                <w:kern w:val="0"/>
                <w:sz w:val="24"/>
                <w:lang w:val="en-US" w:eastAsia="zh-CN"/>
              </w:rPr>
              <w:t>26</w:t>
            </w:r>
            <w:r>
              <w:rPr>
                <w:rFonts w:hint="default" w:ascii="Times New Roman" w:hAnsi="Times New Roman" w:eastAsia="仿宋" w:cs="Times New Roman"/>
                <w:color w:val="auto"/>
                <w:kern w:val="0"/>
                <w:sz w:val="24"/>
              </w:rPr>
              <w:t>km，场址平均海拔约</w:t>
            </w:r>
            <w:r>
              <w:rPr>
                <w:rFonts w:hint="eastAsia" w:eastAsia="仿宋" w:cs="Times New Roman"/>
                <w:color w:val="auto"/>
                <w:kern w:val="0"/>
                <w:sz w:val="24"/>
                <w:lang w:val="en-US" w:eastAsia="zh-CN"/>
              </w:rPr>
              <w:t>1200~1500</w:t>
            </w:r>
            <w:r>
              <w:rPr>
                <w:rFonts w:hint="default" w:ascii="Times New Roman" w:hAnsi="Times New Roman" w:eastAsia="仿宋" w:cs="Times New Roman"/>
                <w:color w:val="auto"/>
                <w:kern w:val="0"/>
                <w:sz w:val="24"/>
              </w:rPr>
              <w:t>m，地貌形态属于</w:t>
            </w:r>
            <w:r>
              <w:rPr>
                <w:rFonts w:hint="eastAsia" w:eastAsia="仿宋" w:cs="Times New Roman"/>
                <w:color w:val="auto"/>
                <w:kern w:val="0"/>
                <w:sz w:val="24"/>
                <w:lang w:val="en-US" w:eastAsia="zh-CN"/>
              </w:rPr>
              <w:t>山地</w:t>
            </w:r>
            <w:r>
              <w:rPr>
                <w:rFonts w:hint="default" w:ascii="Times New Roman" w:hAnsi="Times New Roman" w:eastAsia="仿宋" w:cs="Times New Roman"/>
                <w:color w:val="auto"/>
                <w:kern w:val="0"/>
                <w:sz w:val="24"/>
              </w:rPr>
              <w:t>，场址内主要是</w:t>
            </w:r>
            <w:r>
              <w:rPr>
                <w:rFonts w:hint="eastAsia" w:eastAsia="仿宋" w:cs="Times New Roman"/>
                <w:color w:val="auto"/>
                <w:kern w:val="0"/>
                <w:sz w:val="24"/>
                <w:lang w:val="en-US" w:eastAsia="zh-CN"/>
              </w:rPr>
              <w:t>林地</w:t>
            </w:r>
            <w:r>
              <w:rPr>
                <w:rFonts w:hint="default" w:ascii="Times New Roman" w:hAnsi="Times New Roman" w:eastAsia="仿宋" w:cs="Times New Roman"/>
                <w:color w:val="auto"/>
                <w:kern w:val="0"/>
                <w:sz w:val="24"/>
              </w:rPr>
              <w:t>。本项目装机</w:t>
            </w:r>
            <w:r>
              <w:rPr>
                <w:rFonts w:hint="eastAsia" w:eastAsia="仿宋" w:cs="Times New Roman"/>
                <w:color w:val="auto"/>
                <w:kern w:val="0"/>
                <w:sz w:val="24"/>
                <w:lang w:val="en-US" w:eastAsia="zh-CN"/>
              </w:rPr>
              <w:t>容量5</w:t>
            </w:r>
            <w:r>
              <w:rPr>
                <w:rFonts w:hint="default" w:ascii="Times New Roman" w:hAnsi="Times New Roman" w:eastAsia="仿宋" w:cs="Times New Roman"/>
                <w:color w:val="auto"/>
                <w:kern w:val="0"/>
                <w:sz w:val="24"/>
              </w:rPr>
              <w:t>0MW，拟安装</w:t>
            </w:r>
            <w:r>
              <w:rPr>
                <w:rFonts w:hint="eastAsia" w:eastAsia="仿宋" w:cs="Times New Roman"/>
                <w:color w:val="auto"/>
                <w:kern w:val="0"/>
                <w:sz w:val="24"/>
                <w:lang w:val="en-US" w:eastAsia="zh-CN"/>
              </w:rPr>
              <w:t>10</w:t>
            </w:r>
            <w:r>
              <w:rPr>
                <w:rFonts w:hint="default" w:ascii="Times New Roman" w:hAnsi="Times New Roman" w:eastAsia="仿宋" w:cs="Times New Roman"/>
                <w:color w:val="auto"/>
                <w:kern w:val="0"/>
                <w:sz w:val="24"/>
              </w:rPr>
              <w:t>台单机容量5MW的风力发电机组，同时配套建设1座</w:t>
            </w:r>
            <w:r>
              <w:rPr>
                <w:rFonts w:hint="eastAsia" w:eastAsia="仿宋" w:cs="Times New Roman"/>
                <w:color w:val="auto"/>
                <w:kern w:val="0"/>
                <w:sz w:val="24"/>
                <w:lang w:val="en-US" w:eastAsia="zh-CN"/>
              </w:rPr>
              <w:t>11</w:t>
            </w:r>
            <w:r>
              <w:rPr>
                <w:rFonts w:hint="default" w:ascii="Times New Roman" w:hAnsi="Times New Roman" w:eastAsia="仿宋" w:cs="Times New Roman"/>
                <w:color w:val="auto"/>
                <w:kern w:val="0"/>
                <w:sz w:val="24"/>
              </w:rPr>
              <w:t>0kV升压站。</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建设项目环境影响评价分类管理名录（2021年版）》，本项目不涉及第三条（一）中的“自然保护区、风景名胜区、世界文化和自然遗产地、海洋特别保护区、饮用水源保护区”等环境敏感区；本工程风机声环境影响评价范围内不涉及第三条（三）中的以医疗卫生、文化教育、科研、行政办公等为主要功能的区域以及文物保护单位等环境敏感区，因此，本项目应编制环境影响报告表。</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eastAsia" w:eastAsia="仿宋" w:cs="Times New Roman"/>
                <w:color w:val="auto"/>
                <w:kern w:val="0"/>
                <w:sz w:val="24"/>
                <w:lang w:val="en-US" w:eastAsia="zh-CN"/>
              </w:rPr>
              <w:t>湖北同和兴创环境技术有限公司</w:t>
            </w:r>
            <w:r>
              <w:rPr>
                <w:rFonts w:hint="default" w:ascii="Times New Roman" w:hAnsi="Times New Roman" w:eastAsia="仿宋" w:cs="Times New Roman"/>
                <w:color w:val="auto"/>
                <w:kern w:val="0"/>
                <w:sz w:val="24"/>
              </w:rPr>
              <w:t>（以下简称“我公司”）受</w:t>
            </w:r>
            <w:r>
              <w:rPr>
                <w:rFonts w:hint="eastAsia" w:eastAsia="仿宋" w:cs="Times New Roman"/>
                <w:color w:val="auto"/>
                <w:kern w:val="0"/>
                <w:sz w:val="24"/>
                <w:lang w:eastAsia="zh-CN"/>
              </w:rPr>
              <w:t>华润风电（巴中）有限公司</w:t>
            </w:r>
            <w:r>
              <w:rPr>
                <w:rFonts w:hint="default" w:ascii="Times New Roman" w:hAnsi="Times New Roman" w:eastAsia="仿宋" w:cs="Times New Roman"/>
                <w:color w:val="auto"/>
                <w:kern w:val="0"/>
                <w:sz w:val="24"/>
              </w:rPr>
              <w:t>委托，承担本项目的环境影响评价工作。接受委托后，我公司对项目进行了实地踏勘和调查，收集了有关设计资料，进行了工程分析，在此基础上编制完成了《</w:t>
            </w:r>
            <w:r>
              <w:rPr>
                <w:rFonts w:hint="eastAsia" w:eastAsia="仿宋" w:cs="Times New Roman"/>
                <w:color w:val="auto"/>
                <w:kern w:val="0"/>
                <w:sz w:val="24"/>
                <w:lang w:eastAsia="zh-CN"/>
              </w:rPr>
              <w:t>巴中南江大河风电项目</w:t>
            </w:r>
            <w:r>
              <w:rPr>
                <w:rFonts w:hint="default" w:ascii="Times New Roman" w:hAnsi="Times New Roman" w:eastAsia="仿宋" w:cs="Times New Roman"/>
                <w:color w:val="auto"/>
                <w:kern w:val="0"/>
                <w:sz w:val="24"/>
              </w:rPr>
              <w:t>环境影响报告表》交由</w:t>
            </w:r>
            <w:r>
              <w:rPr>
                <w:rFonts w:hint="eastAsia" w:eastAsia="仿宋" w:cs="Times New Roman"/>
                <w:color w:val="auto"/>
                <w:kern w:val="0"/>
                <w:sz w:val="24"/>
                <w:lang w:eastAsia="zh-CN"/>
              </w:rPr>
              <w:t>华润风电（巴中）有限公司</w:t>
            </w:r>
            <w:r>
              <w:rPr>
                <w:rFonts w:hint="default" w:ascii="Times New Roman" w:hAnsi="Times New Roman" w:eastAsia="仿宋" w:cs="Times New Roman"/>
                <w:color w:val="auto"/>
                <w:kern w:val="0"/>
                <w:sz w:val="24"/>
              </w:rPr>
              <w:t>呈报生态环境主管部门审批。</w:t>
            </w:r>
            <w:r>
              <w:rPr>
                <w:rFonts w:hint="eastAsia" w:eastAsia="仿宋" w:cs="Times New Roman"/>
                <w:color w:val="auto"/>
                <w:kern w:val="0"/>
                <w:sz w:val="24"/>
                <w:lang w:val="en-US" w:eastAsia="zh-CN"/>
              </w:rPr>
              <w:t>配套升压站及外送线路电磁环境影响另行组织辐射类环境影响评价，不在本次评价范围内。</w:t>
            </w:r>
          </w:p>
          <w:p>
            <w:pPr>
              <w:adjustRightInd w:val="0"/>
              <w:snapToGrid w:val="0"/>
              <w:spacing w:line="360" w:lineRule="auto"/>
              <w:rPr>
                <w:rFonts w:hint="default" w:ascii="Times New Roman" w:hAnsi="Times New Roman" w:eastAsia="仿宋" w:cs="Times New Roman"/>
                <w:b/>
                <w:color w:val="auto"/>
                <w:kern w:val="0"/>
                <w:sz w:val="24"/>
              </w:rPr>
            </w:pPr>
            <w:r>
              <w:rPr>
                <w:rFonts w:hint="eastAsia" w:eastAsia="仿宋" w:cs="Times New Roman"/>
                <w:b/>
                <w:color w:val="auto"/>
                <w:kern w:val="0"/>
                <w:sz w:val="24"/>
                <w:lang w:val="en-US" w:eastAsia="zh-CN"/>
              </w:rPr>
              <w:t>2、</w:t>
            </w:r>
            <w:r>
              <w:rPr>
                <w:rFonts w:hint="default" w:ascii="Times New Roman" w:hAnsi="Times New Roman" w:eastAsia="仿宋" w:cs="Times New Roman"/>
                <w:b/>
                <w:color w:val="auto"/>
                <w:kern w:val="0"/>
                <w:sz w:val="24"/>
              </w:rPr>
              <w:t>项目建设内容及规模</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本项目建设内容见表2-</w:t>
            </w:r>
            <w:r>
              <w:rPr>
                <w:rFonts w:hint="eastAsia" w:eastAsia="仿宋" w:cs="Times New Roman"/>
                <w:color w:val="auto"/>
                <w:kern w:val="0"/>
                <w:sz w:val="24"/>
                <w:lang w:val="en-US" w:eastAsia="zh-CN"/>
              </w:rPr>
              <w:t>2</w:t>
            </w:r>
            <w:r>
              <w:rPr>
                <w:rFonts w:hint="default" w:ascii="Times New Roman" w:hAnsi="Times New Roman" w:eastAsia="仿宋" w:cs="Times New Roman"/>
                <w:color w:val="auto"/>
                <w:kern w:val="0"/>
                <w:sz w:val="24"/>
              </w:rPr>
              <w:t>。</w:t>
            </w:r>
          </w:p>
          <w:p>
            <w:pPr>
              <w:adjustRightInd w:val="0"/>
              <w:snapToGrid w:val="0"/>
              <w:spacing w:line="360" w:lineRule="auto"/>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表2-</w:t>
            </w:r>
            <w:r>
              <w:rPr>
                <w:rFonts w:hint="eastAsia" w:eastAsia="仿宋" w:cs="Times New Roman"/>
                <w:b/>
                <w:color w:val="auto"/>
                <w:kern w:val="0"/>
                <w:szCs w:val="21"/>
                <w:lang w:val="en-US" w:eastAsia="zh-CN"/>
              </w:rPr>
              <w:t>2</w:t>
            </w:r>
            <w:r>
              <w:rPr>
                <w:rFonts w:hint="default" w:ascii="Times New Roman" w:hAnsi="Times New Roman" w:eastAsia="仿宋" w:cs="Times New Roman"/>
                <w:b/>
                <w:color w:val="auto"/>
                <w:kern w:val="0"/>
                <w:szCs w:val="21"/>
              </w:rPr>
              <w:t xml:space="preserve">  主要建设内容一栏表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108" w:type="dxa"/>
                <w:bottom w:w="28" w:type="dxa"/>
                <w:right w:w="108" w:type="dxa"/>
              </w:tblCellMar>
            </w:tblPr>
            <w:tblGrid>
              <w:gridCol w:w="645"/>
              <w:gridCol w:w="1039"/>
              <w:gridCol w:w="66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Align w:val="center"/>
                </w:tcPr>
                <w:p>
                  <w:pPr>
                    <w:jc w:val="center"/>
                    <w:outlineLvl w:val="1"/>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工程</w:t>
                  </w:r>
                </w:p>
              </w:tc>
              <w:tc>
                <w:tcPr>
                  <w:tcW w:w="625" w:type="pct"/>
                  <w:vAlign w:val="center"/>
                </w:tcPr>
                <w:p>
                  <w:pPr>
                    <w:jc w:val="center"/>
                    <w:outlineLvl w:val="1"/>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建设内容</w:t>
                  </w:r>
                </w:p>
              </w:tc>
              <w:tc>
                <w:tcPr>
                  <w:tcW w:w="3986" w:type="pct"/>
                  <w:vAlign w:val="center"/>
                </w:tcPr>
                <w:p>
                  <w:pPr>
                    <w:jc w:val="center"/>
                    <w:outlineLvl w:val="1"/>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建设规模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Merge w:val="restart"/>
                  <w:vAlign w:val="center"/>
                </w:tcPr>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主体</w:t>
                  </w:r>
                </w:p>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工程</w:t>
                  </w:r>
                </w:p>
              </w:tc>
              <w:tc>
                <w:tcPr>
                  <w:tcW w:w="625" w:type="pct"/>
                  <w:vAlign w:val="center"/>
                </w:tcPr>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风力发电系统</w:t>
                  </w:r>
                </w:p>
              </w:tc>
              <w:tc>
                <w:tcPr>
                  <w:tcW w:w="3986" w:type="pct"/>
                  <w:vAlign w:val="center"/>
                </w:tcPr>
                <w:p>
                  <w:pPr>
                    <w:outlineLvl w:val="1"/>
                    <w:rPr>
                      <w:rFonts w:hint="default" w:ascii="Times New Roman" w:hAnsi="Times New Roman" w:eastAsia="仿宋" w:cs="Times New Roman"/>
                      <w:color w:val="auto"/>
                      <w:szCs w:val="21"/>
                    </w:rPr>
                  </w:pPr>
                  <w:r>
                    <w:rPr>
                      <w:rFonts w:hint="eastAsia" w:eastAsia="仿宋" w:cs="Times New Roman"/>
                      <w:color w:val="auto"/>
                      <w:szCs w:val="21"/>
                      <w:lang w:eastAsia="zh-CN"/>
                    </w:rPr>
                    <w:t>巴中南江大河风电项目</w:t>
                  </w:r>
                  <w:r>
                    <w:rPr>
                      <w:rFonts w:hint="default" w:ascii="Times New Roman" w:hAnsi="Times New Roman" w:eastAsia="仿宋" w:cs="Times New Roman"/>
                      <w:color w:val="auto"/>
                      <w:szCs w:val="21"/>
                    </w:rPr>
                    <w:t>拟设计安装</w:t>
                  </w:r>
                  <w:r>
                    <w:rPr>
                      <w:rFonts w:hint="eastAsia" w:eastAsia="仿宋" w:cs="Times New Roman"/>
                      <w:color w:val="auto"/>
                      <w:szCs w:val="21"/>
                      <w:lang w:val="en-US" w:eastAsia="zh-CN"/>
                    </w:rPr>
                    <w:t>10</w:t>
                  </w:r>
                  <w:r>
                    <w:rPr>
                      <w:rFonts w:hint="default" w:ascii="Times New Roman" w:hAnsi="Times New Roman" w:eastAsia="仿宋" w:cs="Times New Roman"/>
                      <w:color w:val="auto"/>
                      <w:szCs w:val="21"/>
                    </w:rPr>
                    <w:t>台单机容量</w:t>
                  </w:r>
                  <w:r>
                    <w:rPr>
                      <w:rFonts w:hint="eastAsia" w:eastAsia="仿宋" w:cs="Times New Roman"/>
                      <w:color w:val="auto"/>
                      <w:szCs w:val="21"/>
                      <w:lang w:val="en-US" w:eastAsia="zh-CN"/>
                    </w:rPr>
                    <w:t>5</w:t>
                  </w:r>
                  <w:r>
                    <w:rPr>
                      <w:rFonts w:hint="default" w:ascii="Times New Roman" w:hAnsi="Times New Roman" w:eastAsia="仿宋" w:cs="Times New Roman"/>
                      <w:color w:val="auto"/>
                      <w:szCs w:val="21"/>
                    </w:rPr>
                    <w:t>W的风力发电机组风力发电机组。轮毂高度</w:t>
                  </w:r>
                  <w:r>
                    <w:rPr>
                      <w:rFonts w:hint="eastAsia" w:eastAsia="仿宋" w:cs="Times New Roman"/>
                      <w:color w:val="auto"/>
                      <w:szCs w:val="21"/>
                      <w:lang w:val="en-US" w:eastAsia="zh-CN"/>
                    </w:rPr>
                    <w:t>115</w:t>
                  </w:r>
                  <w:r>
                    <w:rPr>
                      <w:rFonts w:hint="default" w:ascii="Times New Roman" w:hAnsi="Times New Roman" w:eastAsia="仿宋" w:cs="Times New Roman"/>
                      <w:color w:val="auto"/>
                      <w:szCs w:val="21"/>
                    </w:rPr>
                    <w:t>m，预计年上网电量为</w:t>
                  </w:r>
                  <w:r>
                    <w:rPr>
                      <w:rFonts w:hint="eastAsia" w:eastAsia="仿宋" w:cs="Times New Roman"/>
                      <w:color w:val="auto"/>
                      <w:szCs w:val="21"/>
                      <w:lang w:eastAsia="zh-CN"/>
                    </w:rPr>
                    <w:t>88.84G</w:t>
                  </w:r>
                  <w:r>
                    <w:rPr>
                      <w:rFonts w:hint="default" w:ascii="Times New Roman" w:hAnsi="Times New Roman" w:eastAsia="仿宋" w:cs="Times New Roman"/>
                      <w:color w:val="auto"/>
                      <w:szCs w:val="21"/>
                    </w:rPr>
                    <w:t>W·h。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Merge w:val="continue"/>
                  <w:vAlign w:val="center"/>
                </w:tcPr>
                <w:p>
                  <w:pPr>
                    <w:jc w:val="center"/>
                    <w:outlineLvl w:val="1"/>
                    <w:rPr>
                      <w:rFonts w:hint="default" w:ascii="Times New Roman" w:hAnsi="Times New Roman" w:eastAsia="仿宋" w:cs="Times New Roman"/>
                      <w:color w:val="auto"/>
                      <w:szCs w:val="21"/>
                    </w:rPr>
                  </w:pPr>
                </w:p>
              </w:tc>
              <w:tc>
                <w:tcPr>
                  <w:tcW w:w="625" w:type="pct"/>
                  <w:vAlign w:val="center"/>
                </w:tcPr>
                <w:p>
                  <w:pPr>
                    <w:jc w:val="center"/>
                    <w:outlineLvl w:val="1"/>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升压站</w:t>
                  </w:r>
                </w:p>
              </w:tc>
              <w:tc>
                <w:tcPr>
                  <w:tcW w:w="3986" w:type="pct"/>
                  <w:vAlign w:val="center"/>
                </w:tcPr>
                <w:p>
                  <w:pPr>
                    <w:outlineLvl w:val="1"/>
                    <w:rPr>
                      <w:rFonts w:hint="eastAsia" w:eastAsia="仿宋" w:cs="Times New Roman"/>
                      <w:color w:val="auto"/>
                      <w:szCs w:val="21"/>
                      <w:lang w:eastAsia="zh-CN"/>
                    </w:rPr>
                  </w:pPr>
                  <w:r>
                    <w:rPr>
                      <w:rFonts w:hint="eastAsia" w:eastAsia="仿宋" w:cs="Times New Roman"/>
                      <w:color w:val="auto"/>
                      <w:szCs w:val="21"/>
                      <w:lang w:val="en-US" w:eastAsia="zh-CN"/>
                    </w:rPr>
                    <w:t>升压站</w:t>
                  </w:r>
                  <w:r>
                    <w:rPr>
                      <w:rFonts w:hint="eastAsia" w:eastAsia="仿宋" w:cs="Times New Roman"/>
                      <w:color w:val="auto"/>
                      <w:szCs w:val="21"/>
                      <w:lang w:eastAsia="zh-CN"/>
                    </w:rPr>
                    <w:t>分为配电装置区及办公生活区，站区围墙长</w:t>
                  </w:r>
                  <w:r>
                    <w:rPr>
                      <w:rFonts w:hint="eastAsia" w:eastAsia="仿宋" w:cs="Times New Roman"/>
                      <w:color w:val="auto"/>
                      <w:szCs w:val="21"/>
                      <w:lang w:val="en-US" w:eastAsia="zh-CN"/>
                    </w:rPr>
                    <w:t>73.6</w:t>
                  </w:r>
                  <w:r>
                    <w:rPr>
                      <w:rFonts w:hint="eastAsia" w:eastAsia="仿宋" w:cs="Times New Roman"/>
                      <w:color w:val="auto"/>
                      <w:szCs w:val="21"/>
                      <w:lang w:eastAsia="zh-CN"/>
                    </w:rPr>
                    <w:t>m，宽</w:t>
                  </w:r>
                  <w:r>
                    <w:rPr>
                      <w:rFonts w:hint="eastAsia" w:eastAsia="仿宋" w:cs="Times New Roman"/>
                      <w:color w:val="auto"/>
                      <w:szCs w:val="21"/>
                      <w:lang w:val="en-US" w:eastAsia="zh-CN"/>
                    </w:rPr>
                    <w:t>71.2</w:t>
                  </w:r>
                  <w:r>
                    <w:rPr>
                      <w:rFonts w:hint="eastAsia" w:eastAsia="仿宋" w:cs="Times New Roman"/>
                      <w:color w:val="auto"/>
                      <w:szCs w:val="21"/>
                      <w:lang w:eastAsia="zh-CN"/>
                    </w:rPr>
                    <w:t>m。升压站</w:t>
                  </w:r>
                  <w:r>
                    <w:rPr>
                      <w:rFonts w:hint="eastAsia" w:eastAsia="仿宋" w:cs="Times New Roman"/>
                      <w:color w:val="auto"/>
                      <w:szCs w:val="21"/>
                      <w:lang w:val="en-US" w:eastAsia="zh-CN"/>
                    </w:rPr>
                    <w:t>红线</w:t>
                  </w:r>
                  <w:r>
                    <w:rPr>
                      <w:rFonts w:hint="eastAsia" w:eastAsia="仿宋" w:cs="Times New Roman"/>
                      <w:color w:val="auto"/>
                      <w:szCs w:val="21"/>
                      <w:lang w:eastAsia="zh-CN"/>
                    </w:rPr>
                    <w:t>内占地面积</w:t>
                  </w:r>
                  <w:r>
                    <w:rPr>
                      <w:rFonts w:hint="eastAsia" w:eastAsia="仿宋" w:cs="Times New Roman"/>
                      <w:color w:val="auto"/>
                      <w:szCs w:val="21"/>
                      <w:lang w:val="en-US" w:eastAsia="zh-CN"/>
                    </w:rPr>
                    <w:t>5226</w:t>
                  </w:r>
                  <w:r>
                    <w:rPr>
                      <w:rFonts w:hint="eastAsia" w:eastAsia="仿宋" w:cs="Times New Roman"/>
                      <w:color w:val="auto"/>
                      <w:szCs w:val="21"/>
                      <w:lang w:eastAsia="zh-CN"/>
                    </w:rPr>
                    <w:t>m</w:t>
                  </w:r>
                  <w:r>
                    <w:rPr>
                      <w:rFonts w:hint="eastAsia" w:eastAsia="仿宋" w:cs="Times New Roman"/>
                      <w:color w:val="auto"/>
                      <w:szCs w:val="21"/>
                      <w:vertAlign w:val="superscript"/>
                      <w:lang w:eastAsia="zh-CN"/>
                    </w:rPr>
                    <w:t>2</w:t>
                  </w:r>
                  <w:r>
                    <w:rPr>
                      <w:rFonts w:hint="eastAsia" w:eastAsia="仿宋" w:cs="Times New Roman"/>
                      <w:color w:val="auto"/>
                      <w:szCs w:val="21"/>
                      <w:lang w:eastAsia="zh-CN"/>
                    </w:rPr>
                    <w:t>，采用户外布置，建设一台</w:t>
                  </w:r>
                  <w:r>
                    <w:rPr>
                      <w:rFonts w:hint="eastAsia" w:eastAsia="仿宋" w:cs="Times New Roman"/>
                      <w:color w:val="auto"/>
                      <w:szCs w:val="21"/>
                      <w:lang w:val="en-US" w:eastAsia="zh-CN"/>
                    </w:rPr>
                    <w:t>50</w:t>
                  </w:r>
                  <w:r>
                    <w:rPr>
                      <w:rFonts w:hint="eastAsia" w:eastAsia="仿宋" w:cs="Times New Roman"/>
                      <w:color w:val="auto"/>
                      <w:szCs w:val="21"/>
                      <w:lang w:eastAsia="zh-CN"/>
                    </w:rPr>
                    <w:t>MVA主变压器，型号为SZ18-50000/110。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Merge w:val="restart"/>
                  <w:vAlign w:val="center"/>
                </w:tcPr>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辅助</w:t>
                  </w:r>
                </w:p>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工程</w:t>
                  </w:r>
                </w:p>
              </w:tc>
              <w:tc>
                <w:tcPr>
                  <w:tcW w:w="625" w:type="pct"/>
                  <w:vAlign w:val="center"/>
                </w:tcPr>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道路</w:t>
                  </w:r>
                </w:p>
              </w:tc>
              <w:tc>
                <w:tcPr>
                  <w:tcW w:w="3986" w:type="pct"/>
                  <w:vAlign w:val="center"/>
                </w:tcPr>
                <w:p>
                  <w:pPr>
                    <w:outlineLvl w:val="1"/>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本项目</w:t>
                  </w:r>
                  <w:r>
                    <w:rPr>
                      <w:rFonts w:hint="eastAsia" w:eastAsia="仿宋" w:cs="Times New Roman"/>
                      <w:color w:val="auto"/>
                      <w:szCs w:val="21"/>
                      <w:lang w:val="en-US" w:eastAsia="zh-CN"/>
                    </w:rPr>
                    <w:t>道路总长度2.6km，全部为新建道路</w:t>
                  </w: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路面为采用20cm厚泥结碎石，</w:t>
                  </w:r>
                  <w:r>
                    <w:rPr>
                      <w:rFonts w:hint="default" w:ascii="Times New Roman" w:hAnsi="Times New Roman" w:eastAsia="仿宋" w:cs="Times New Roman"/>
                      <w:color w:val="auto"/>
                      <w:sz w:val="21"/>
                      <w:szCs w:val="21"/>
                    </w:rPr>
                    <w:t>路面宽度为4.5m，路基宽度5.5m</w:t>
                  </w:r>
                  <w:r>
                    <w:rPr>
                      <w:rFonts w:hint="default" w:ascii="Times New Roman" w:hAnsi="Times New Roman" w:eastAsia="仿宋"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Merge w:val="continue"/>
                  <w:vAlign w:val="center"/>
                </w:tcPr>
                <w:p>
                  <w:pPr>
                    <w:jc w:val="center"/>
                    <w:outlineLvl w:val="1"/>
                    <w:rPr>
                      <w:rFonts w:hint="default" w:ascii="Times New Roman" w:hAnsi="Times New Roman" w:eastAsia="仿宋" w:cs="Times New Roman"/>
                      <w:color w:val="auto"/>
                      <w:szCs w:val="21"/>
                    </w:rPr>
                  </w:pPr>
                </w:p>
              </w:tc>
              <w:tc>
                <w:tcPr>
                  <w:tcW w:w="625" w:type="pct"/>
                  <w:vAlign w:val="center"/>
                </w:tcPr>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35kV集电线路</w:t>
                  </w:r>
                </w:p>
              </w:tc>
              <w:tc>
                <w:tcPr>
                  <w:tcW w:w="3986" w:type="pct"/>
                  <w:vAlign w:val="center"/>
                </w:tcPr>
                <w:p>
                  <w:pPr>
                    <w:jc w:val="both"/>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本风电场场内设集电线路共</w:t>
                  </w:r>
                  <w:r>
                    <w:rPr>
                      <w:rFonts w:hint="eastAsia" w:eastAsia="仿宋" w:cs="Times New Roman"/>
                      <w:color w:val="auto"/>
                      <w:szCs w:val="21"/>
                      <w:lang w:val="en-US" w:eastAsia="zh-CN"/>
                    </w:rPr>
                    <w:t>2</w:t>
                  </w:r>
                  <w:r>
                    <w:rPr>
                      <w:rFonts w:hint="default" w:ascii="Times New Roman" w:hAnsi="Times New Roman" w:eastAsia="仿宋" w:cs="Times New Roman"/>
                      <w:color w:val="auto"/>
                      <w:szCs w:val="21"/>
                    </w:rPr>
                    <w:t>回，每回集电线路并接</w:t>
                  </w:r>
                  <w:r>
                    <w:rPr>
                      <w:rFonts w:hint="eastAsia" w:eastAsia="仿宋" w:cs="Times New Roman"/>
                      <w:color w:val="auto"/>
                      <w:szCs w:val="21"/>
                      <w:lang w:val="en-US" w:eastAsia="zh-CN"/>
                    </w:rPr>
                    <w:t>5</w:t>
                  </w:r>
                  <w:r>
                    <w:rPr>
                      <w:rFonts w:hint="default" w:ascii="Times New Roman" w:hAnsi="Times New Roman" w:eastAsia="仿宋" w:cs="Times New Roman"/>
                      <w:color w:val="auto"/>
                      <w:szCs w:val="21"/>
                    </w:rPr>
                    <w:t>台风电机组的箱变</w:t>
                  </w:r>
                  <w:r>
                    <w:rPr>
                      <w:rFonts w:hint="eastAsia" w:eastAsia="仿宋" w:cs="Times New Roman"/>
                      <w:color w:val="auto"/>
                      <w:szCs w:val="21"/>
                      <w:lang w:eastAsia="zh-CN"/>
                    </w:rPr>
                    <w:t>，</w:t>
                  </w:r>
                  <w:r>
                    <w:rPr>
                      <w:rFonts w:hint="default" w:ascii="Times New Roman" w:hAnsi="Times New Roman" w:eastAsia="仿宋" w:cs="Times New Roman"/>
                      <w:color w:val="auto"/>
                      <w:szCs w:val="21"/>
                    </w:rPr>
                    <w:t>新建35kV</w:t>
                  </w:r>
                  <w:r>
                    <w:rPr>
                      <w:rFonts w:hint="eastAsia" w:eastAsia="仿宋" w:cs="Times New Roman"/>
                      <w:color w:val="auto"/>
                      <w:szCs w:val="21"/>
                      <w:lang w:val="en-US" w:eastAsia="zh-CN"/>
                    </w:rPr>
                    <w:t>直埋电缆</w:t>
                  </w:r>
                  <w:r>
                    <w:rPr>
                      <w:rFonts w:hint="default" w:ascii="Times New Roman" w:hAnsi="Times New Roman" w:eastAsia="仿宋" w:cs="Times New Roman"/>
                      <w:color w:val="auto"/>
                      <w:szCs w:val="21"/>
                    </w:rPr>
                    <w:t>集电线路全长约</w:t>
                  </w:r>
                  <w:r>
                    <w:rPr>
                      <w:rFonts w:hint="eastAsia" w:eastAsia="仿宋" w:cs="Times New Roman"/>
                      <w:color w:val="auto"/>
                      <w:szCs w:val="21"/>
                      <w:lang w:val="en-US" w:eastAsia="zh-CN"/>
                    </w:rPr>
                    <w:t>25.349</w:t>
                  </w:r>
                  <w:r>
                    <w:rPr>
                      <w:rFonts w:hint="default" w:ascii="Times New Roman" w:hAnsi="Times New Roman" w:eastAsia="仿宋" w:cs="Times New Roman"/>
                      <w:color w:val="auto"/>
                      <w:szCs w:val="21"/>
                    </w:rPr>
                    <w:t>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563" w:hRule="atLeast"/>
              </w:trPr>
              <w:tc>
                <w:tcPr>
                  <w:tcW w:w="388" w:type="pct"/>
                  <w:vMerge w:val="restart"/>
                  <w:vAlign w:val="center"/>
                </w:tcPr>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环保工程</w:t>
                  </w:r>
                </w:p>
              </w:tc>
              <w:tc>
                <w:tcPr>
                  <w:tcW w:w="625" w:type="pct"/>
                  <w:vMerge w:val="restar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废水治理</w:t>
                  </w:r>
                </w:p>
              </w:tc>
              <w:tc>
                <w:tcPr>
                  <w:tcW w:w="3986" w:type="pct"/>
                  <w:vAlign w:val="top"/>
                </w:tcPr>
                <w:p>
                  <w:pPr>
                    <w:pStyle w:val="84"/>
                    <w:ind w:firstLine="0" w:firstLineChars="0"/>
                    <w:jc w:val="both"/>
                    <w:rPr>
                      <w:rFonts w:hint="eastAsia" w:ascii="Times New Roman" w:hAnsi="Times New Roman" w:eastAsia="仿宋" w:cs="Times New Roman"/>
                      <w:color w:val="auto"/>
                      <w:szCs w:val="21"/>
                      <w:vertAlign w:val="baseline"/>
                      <w:lang w:eastAsia="zh-CN"/>
                    </w:rPr>
                  </w:pPr>
                  <w:r>
                    <w:rPr>
                      <w:rFonts w:hint="default" w:ascii="Times New Roman" w:hAnsi="Times New Roman" w:eastAsia="仿宋" w:cs="Times New Roman"/>
                      <w:color w:val="auto"/>
                      <w:sz w:val="21"/>
                      <w:szCs w:val="21"/>
                      <w:lang w:val="en-US" w:eastAsia="zh-CN"/>
                    </w:rPr>
                    <w:t>站内设置一套由化粪池、污水管道、调节池、一体化污水处理设备（处理量为1.0m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/h）组成的生活污水处理系统。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Merge w:val="continue"/>
                  <w:vAlign w:val="center"/>
                </w:tcPr>
                <w:p>
                  <w:pPr>
                    <w:jc w:val="center"/>
                    <w:outlineLvl w:val="1"/>
                    <w:rPr>
                      <w:rFonts w:hint="default" w:ascii="Times New Roman" w:hAnsi="Times New Roman" w:eastAsia="仿宋" w:cs="Times New Roman"/>
                      <w:color w:val="auto"/>
                      <w:szCs w:val="21"/>
                    </w:rPr>
                  </w:pPr>
                </w:p>
              </w:tc>
              <w:tc>
                <w:tcPr>
                  <w:tcW w:w="625" w:type="pct"/>
                  <w:vMerge w:val="restart"/>
                  <w:vAlign w:val="center"/>
                </w:tcPr>
                <w:p>
                  <w:pPr>
                    <w:jc w:val="center"/>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固废治理</w:t>
                  </w:r>
                </w:p>
              </w:tc>
              <w:tc>
                <w:tcPr>
                  <w:tcW w:w="3986" w:type="pct"/>
                  <w:vAlign w:val="top"/>
                </w:tcPr>
                <w:p>
                  <w:pPr>
                    <w:pStyle w:val="84"/>
                    <w:ind w:firstLine="0" w:firstLineChars="0"/>
                    <w:jc w:val="both"/>
                    <w:rPr>
                      <w:rFonts w:hint="default" w:ascii="Times New Roman" w:hAnsi="Times New Roman" w:eastAsia="仿宋" w:cs="Times New Roman"/>
                      <w:color w:val="auto"/>
                      <w:szCs w:val="21"/>
                      <w:highlight w:val="yellow"/>
                    </w:rPr>
                  </w:pPr>
                  <w:r>
                    <w:rPr>
                      <w:rFonts w:hint="default" w:ascii="Times New Roman" w:hAnsi="Times New Roman" w:eastAsia="仿宋" w:cs="Times New Roman"/>
                      <w:color w:val="auto"/>
                      <w:sz w:val="21"/>
                      <w:szCs w:val="21"/>
                      <w:lang w:val="en-US" w:eastAsia="zh-CN"/>
                    </w:rPr>
                    <w:t>运检人员生活垃圾集中收集后统一运至当地生活垃圾处理点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Merge w:val="continue"/>
                  <w:vAlign w:val="center"/>
                </w:tcPr>
                <w:p>
                  <w:pPr>
                    <w:jc w:val="center"/>
                    <w:outlineLvl w:val="1"/>
                    <w:rPr>
                      <w:rFonts w:hint="default" w:ascii="Times New Roman" w:hAnsi="Times New Roman" w:eastAsia="仿宋" w:cs="Times New Roman"/>
                      <w:color w:val="auto"/>
                      <w:szCs w:val="21"/>
                    </w:rPr>
                  </w:pPr>
                </w:p>
              </w:tc>
              <w:tc>
                <w:tcPr>
                  <w:tcW w:w="625" w:type="pct"/>
                  <w:vMerge w:val="continue"/>
                  <w:vAlign w:val="center"/>
                </w:tcPr>
                <w:p>
                  <w:pPr>
                    <w:jc w:val="center"/>
                    <w:outlineLvl w:val="1"/>
                    <w:rPr>
                      <w:rFonts w:hint="default" w:ascii="Times New Roman" w:hAnsi="Times New Roman" w:eastAsia="仿宋" w:cs="Times New Roman"/>
                      <w:color w:val="auto"/>
                      <w:szCs w:val="21"/>
                    </w:rPr>
                  </w:pPr>
                </w:p>
              </w:tc>
              <w:tc>
                <w:tcPr>
                  <w:tcW w:w="3986" w:type="pct"/>
                  <w:vAlign w:val="top"/>
                </w:tcPr>
                <w:p>
                  <w:pPr>
                    <w:pStyle w:val="84"/>
                    <w:ind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废润滑油、废变压器油、废铅酸蓄电池暂贮存于危废暂存间（</w:t>
                  </w:r>
                  <w:r>
                    <w:rPr>
                      <w:rFonts w:hint="eastAsia" w:eastAsia="仿宋" w:cs="Times New Roman"/>
                      <w:color w:val="auto"/>
                      <w:sz w:val="21"/>
                      <w:szCs w:val="21"/>
                      <w:lang w:val="en-US" w:eastAsia="zh-CN"/>
                    </w:rPr>
                    <w:t>10.2</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2</w:t>
                  </w:r>
                  <w:r>
                    <w:rPr>
                      <w:rFonts w:hint="default" w:ascii="Times New Roman" w:hAnsi="Times New Roman" w:eastAsia="仿宋" w:cs="Times New Roman"/>
                      <w:color w:val="auto"/>
                      <w:sz w:val="21"/>
                      <w:szCs w:val="21"/>
                      <w:lang w:val="en-US" w:eastAsia="zh-CN"/>
                    </w:rPr>
                    <w:t>）后交由有资质的单位进行处置。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340" w:hRule="atLeast"/>
              </w:trPr>
              <w:tc>
                <w:tcPr>
                  <w:tcW w:w="388" w:type="pct"/>
                  <w:vMerge w:val="continue"/>
                  <w:vAlign w:val="center"/>
                </w:tcPr>
                <w:p>
                  <w:pPr>
                    <w:jc w:val="center"/>
                    <w:outlineLvl w:val="1"/>
                    <w:rPr>
                      <w:rFonts w:hint="default" w:ascii="Times New Roman" w:hAnsi="Times New Roman" w:eastAsia="仿宋" w:cs="Times New Roman"/>
                      <w:color w:val="auto"/>
                      <w:szCs w:val="21"/>
                    </w:rPr>
                  </w:pPr>
                </w:p>
              </w:tc>
              <w:tc>
                <w:tcPr>
                  <w:tcW w:w="625" w:type="pct"/>
                  <w:vAlign w:val="center"/>
                </w:tcPr>
                <w:p>
                  <w:pPr>
                    <w:adjustRightIn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事故油池</w:t>
                  </w:r>
                </w:p>
              </w:tc>
              <w:tc>
                <w:tcPr>
                  <w:tcW w:w="3986" w:type="pct"/>
                  <w:vAlign w:val="top"/>
                </w:tcPr>
                <w:p>
                  <w:pPr>
                    <w:pStyle w:val="84"/>
                    <w:ind w:firstLine="0"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升压站内本期建设有效容积满足站内单台最大油量主变事故状态下变压器油100%不外排的需求的事故油池1座（50m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w:t>
                  </w:r>
                </w:p>
              </w:tc>
            </w:tr>
          </w:tbl>
          <w:p>
            <w:pPr>
              <w:spacing w:line="36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表2-</w:t>
            </w:r>
            <w:r>
              <w:rPr>
                <w:rFonts w:hint="eastAsia" w:eastAsia="仿宋" w:cs="Times New Roman"/>
                <w:b/>
                <w:color w:val="auto"/>
                <w:szCs w:val="21"/>
                <w:lang w:val="en-US" w:eastAsia="zh-CN"/>
              </w:rPr>
              <w:t>3</w:t>
            </w:r>
            <w:r>
              <w:rPr>
                <w:rFonts w:hint="default" w:ascii="Times New Roman" w:hAnsi="Times New Roman" w:eastAsia="仿宋" w:cs="Times New Roman"/>
                <w:b/>
                <w:color w:val="auto"/>
                <w:szCs w:val="21"/>
              </w:rPr>
              <w:t xml:space="preserve">  工程特性表</w:t>
            </w:r>
          </w:p>
          <w:tbl>
            <w:tblPr>
              <w:tblStyle w:val="83"/>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91"/>
              <w:gridCol w:w="479"/>
              <w:gridCol w:w="249"/>
              <w:gridCol w:w="1089"/>
              <w:gridCol w:w="1373"/>
              <w:gridCol w:w="2210"/>
              <w:gridCol w:w="7"/>
              <w:gridCol w:w="1473"/>
              <w:gridCol w:w="83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75" w:type="pct"/>
                  <w:gridSpan w:val="5"/>
                  <w:vAlign w:val="top"/>
                </w:tcPr>
                <w:p>
                  <w:pPr>
                    <w:pStyle w:val="84"/>
                    <w:ind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1330" w:type="pct"/>
                  <w:vAlign w:val="top"/>
                </w:tcPr>
                <w:p>
                  <w:pPr>
                    <w:pStyle w:val="84"/>
                    <w:ind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单位（或型号）</w:t>
                  </w:r>
                </w:p>
              </w:tc>
              <w:tc>
                <w:tcPr>
                  <w:tcW w:w="890" w:type="pct"/>
                  <w:gridSpan w:val="2"/>
                  <w:vAlign w:val="top"/>
                </w:tcPr>
                <w:p>
                  <w:pPr>
                    <w:pStyle w:val="84"/>
                    <w:ind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数量</w:t>
                  </w:r>
                </w:p>
              </w:tc>
              <w:tc>
                <w:tcPr>
                  <w:tcW w:w="503" w:type="pct"/>
                  <w:vAlign w:val="top"/>
                </w:tcPr>
                <w:p>
                  <w:pPr>
                    <w:pStyle w:val="84"/>
                    <w:ind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风电场场址</w:t>
                  </w: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海拔高度</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1300</w:t>
                  </w:r>
                  <w:r>
                    <w:rPr>
                      <w:rFonts w:hint="default" w:ascii="Times New Roman" w:hAnsi="Times New Roman" w:eastAsia="仿宋" w:cs="Times New Roman"/>
                      <w:color w:val="auto"/>
                      <w:sz w:val="21"/>
                      <w:szCs w:val="21"/>
                      <w:lang w:val="en-US" w:eastAsia="zh-CN"/>
                    </w:rPr>
                    <w:t>～150</w:t>
                  </w:r>
                  <w:r>
                    <w:rPr>
                      <w:rFonts w:hint="eastAsia" w:eastAsia="仿宋" w:cs="Times New Roman"/>
                      <w:color w:val="auto"/>
                      <w:sz w:val="21"/>
                      <w:szCs w:val="21"/>
                      <w:lang w:val="en-US" w:eastAsia="zh-CN"/>
                    </w:rPr>
                    <w:t>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经度（东经）</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90" w:type="pct"/>
                  <w:gridSpan w:val="2"/>
                  <w:vAlign w:val="top"/>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106.999743°E</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纬度（北纬）</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90" w:type="pct"/>
                  <w:gridSpan w:val="2"/>
                  <w:vAlign w:val="top"/>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32.112237°N</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年平均风速</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m/s</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4.77</w:t>
                  </w:r>
                </w:p>
              </w:tc>
              <w:tc>
                <w:tcPr>
                  <w:tcW w:w="503"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r>
                    <w:rPr>
                      <w:rFonts w:hint="eastAsia" w:eastAsia="仿宋" w:cs="Times New Roman"/>
                      <w:color w:val="auto"/>
                      <w:sz w:val="21"/>
                      <w:szCs w:val="21"/>
                      <w:lang w:val="en-US" w:eastAsia="zh-CN"/>
                    </w:rPr>
                    <w:t>2</w:t>
                  </w:r>
                  <w:r>
                    <w:rPr>
                      <w:rFonts w:hint="default" w:ascii="Times New Roman" w:hAnsi="Times New Roman" w:eastAsia="仿宋" w:cs="Times New Roman"/>
                      <w:color w:val="auto"/>
                      <w:sz w:val="21"/>
                      <w:szCs w:val="21"/>
                      <w:lang w:val="en-US" w:eastAsia="zh-CN"/>
                    </w:rPr>
                    <w:t>0m机位平均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年平均风功率密度</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W/m</w:t>
                  </w:r>
                  <w:r>
                    <w:rPr>
                      <w:rFonts w:hint="default" w:ascii="Times New Roman" w:hAnsi="Times New Roman" w:eastAsia="仿宋" w:cs="Times New Roman"/>
                      <w:color w:val="auto"/>
                      <w:sz w:val="21"/>
                      <w:szCs w:val="21"/>
                      <w:vertAlign w:val="superscript"/>
                      <w:lang w:val="en-US" w:eastAsia="zh-CN"/>
                    </w:rPr>
                    <w:t>2</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277</w:t>
                  </w:r>
                </w:p>
              </w:tc>
              <w:tc>
                <w:tcPr>
                  <w:tcW w:w="503" w:type="pct"/>
                  <w:vMerge w:val="continue"/>
                  <w:tcBorders>
                    <w:top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主导风向</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NE</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restar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主要设备</w:t>
                  </w:r>
                </w:p>
              </w:tc>
              <w:tc>
                <w:tcPr>
                  <w:tcW w:w="438" w:type="pct"/>
                  <w:gridSpan w:val="2"/>
                  <w:vMerge w:val="restar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风电场主要集电设备</w:t>
                  </w:r>
                </w:p>
              </w:tc>
              <w:tc>
                <w:tcPr>
                  <w:tcW w:w="654" w:type="pct"/>
                  <w:vMerge w:val="restar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风电机组</w:t>
                  </w: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台数</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额定功率</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kW</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叶片数</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片</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风轮直径</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200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扫掠面积</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2</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31400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切入风速</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m/s</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额定风速</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m/s</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r>
                    <w:rPr>
                      <w:rFonts w:hint="eastAsia" w:eastAsia="仿宋" w:cs="Times New Roman"/>
                      <w:color w:val="auto"/>
                      <w:sz w:val="21"/>
                      <w:szCs w:val="21"/>
                      <w:lang w:val="en-US" w:eastAsia="zh-CN"/>
                    </w:rPr>
                    <w:t>5</w:t>
                  </w:r>
                  <w:r>
                    <w:rPr>
                      <w:rFonts w:hint="default" w:ascii="Times New Roman" w:hAnsi="Times New Roman" w:eastAsia="仿宋" w:cs="Times New Roman"/>
                      <w:color w:val="auto"/>
                      <w:sz w:val="21"/>
                      <w:szCs w:val="21"/>
                      <w:lang w:val="en-US" w:eastAsia="zh-CN"/>
                    </w:rPr>
                    <w:t>（静态）</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切出风速</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m/s</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安全风速</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m/s</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8.5</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轮毂高度</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115</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发电机容量</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kW</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5000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发电机功率因数</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容性</w:t>
                  </w:r>
                  <w:r>
                    <w:rPr>
                      <w:rFonts w:hint="default" w:ascii="Times New Roman" w:hAnsi="Times New Roman" w:eastAsia="仿宋" w:cs="Times New Roman"/>
                      <w:color w:val="auto"/>
                      <w:sz w:val="21"/>
                      <w:szCs w:val="21"/>
                      <w:lang w:val="en-US" w:eastAsia="zh-CN"/>
                    </w:rPr>
                    <w:t>0.95～</w:t>
                  </w:r>
                  <w:r>
                    <w:rPr>
                      <w:rFonts w:hint="eastAsia" w:eastAsia="仿宋" w:cs="Times New Roman"/>
                      <w:color w:val="auto"/>
                      <w:sz w:val="21"/>
                      <w:szCs w:val="21"/>
                      <w:lang w:val="en-US" w:eastAsia="zh-CN"/>
                    </w:rPr>
                    <w:t>感性</w:t>
                  </w:r>
                  <w:r>
                    <w:rPr>
                      <w:rFonts w:hint="default" w:ascii="Times New Roman" w:hAnsi="Times New Roman" w:eastAsia="仿宋" w:cs="Times New Roman"/>
                      <w:color w:val="auto"/>
                      <w:sz w:val="21"/>
                      <w:szCs w:val="21"/>
                      <w:lang w:val="en-US" w:eastAsia="zh-CN"/>
                    </w:rPr>
                    <w:t>0.95</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额定电压</w:t>
                  </w:r>
                </w:p>
              </w:tc>
              <w:tc>
                <w:tcPr>
                  <w:tcW w:w="1330" w:type="pc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V</w:t>
                  </w:r>
                </w:p>
              </w:tc>
              <w:tc>
                <w:tcPr>
                  <w:tcW w:w="890" w:type="pct"/>
                  <w:gridSpan w:val="2"/>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1140</w:t>
                  </w:r>
                </w:p>
              </w:tc>
              <w:tc>
                <w:tcPr>
                  <w:tcW w:w="503" w:type="pc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tcBorders>
                    <w:top w:val="single" w:color="000000" w:sz="6"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箱式变电站</w:t>
                  </w:r>
                </w:p>
              </w:tc>
              <w:tc>
                <w:tcPr>
                  <w:tcW w:w="1330" w:type="pct"/>
                  <w:tcBorders>
                    <w:top w:val="single" w:color="000000" w:sz="6"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5500kVA37±2x2.5%/1.14</w:t>
                  </w:r>
                </w:p>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D,yn11Ud=6.5%</w:t>
                  </w:r>
                </w:p>
              </w:tc>
              <w:tc>
                <w:tcPr>
                  <w:tcW w:w="890" w:type="pct"/>
                  <w:gridSpan w:val="2"/>
                  <w:tcBorders>
                    <w:top w:val="single" w:color="000000" w:sz="6"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503" w:type="pct"/>
                  <w:tcBorders>
                    <w:top w:val="single" w:color="000000" w:sz="6"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升压变</w:t>
                  </w:r>
                </w:p>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电站主</w:t>
                  </w:r>
                </w:p>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要机电</w:t>
                  </w:r>
                </w:p>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设备</w:t>
                  </w:r>
                </w:p>
              </w:tc>
              <w:tc>
                <w:tcPr>
                  <w:tcW w:w="654"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主变压器</w:t>
                  </w: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台数</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tcBorders>
                    <w:top w:val="nil"/>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cBorders>
                    <w:top w:val="nil"/>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型号</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SZ18-50000/110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tcBorders>
                    <w:top w:val="nil"/>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cBorders>
                    <w:top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额定电压</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kV</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110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tcBorders>
                    <w:top w:val="nil"/>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出线回路电压等级</w:t>
                  </w: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出线回路数</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回</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438" w:type="pct"/>
                  <w:gridSpan w:val="2"/>
                  <w:vMerge w:val="continue"/>
                  <w:tcBorders>
                    <w:top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654" w:type="pct"/>
                  <w:vMerge w:val="continue"/>
                  <w:tcBorders>
                    <w:top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电压等级</w:t>
                  </w:r>
                </w:p>
              </w:tc>
              <w:tc>
                <w:tcPr>
                  <w:tcW w:w="1330"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kV</w:t>
                  </w:r>
                </w:p>
              </w:tc>
              <w:tc>
                <w:tcPr>
                  <w:tcW w:w="890"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110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土建</w:t>
                  </w:r>
                </w:p>
              </w:tc>
              <w:tc>
                <w:tcPr>
                  <w:tcW w:w="1093" w:type="pct"/>
                  <w:gridSpan w:val="3"/>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风机基础</w:t>
                  </w: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台数</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093" w:type="pct"/>
                  <w:gridSpan w:val="3"/>
                  <w:vMerge w:val="continue"/>
                  <w:tcBorders>
                    <w:top w:val="nil"/>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型式</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现浇钢筋混凝土圆形扩展基础</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093" w:type="pct"/>
                  <w:gridSpan w:val="3"/>
                  <w:vMerge w:val="continue"/>
                  <w:tcBorders>
                    <w:top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地基特性</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风化岩石</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093" w:type="pct"/>
                  <w:gridSpan w:val="3"/>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箱变基础</w:t>
                  </w: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台数</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台</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093" w:type="pct"/>
                  <w:gridSpan w:val="3"/>
                  <w:vMerge w:val="continue"/>
                  <w:tcBorders>
                    <w:top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25"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型式</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箱式基础</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土建施工</w:t>
                  </w:r>
                </w:p>
              </w:tc>
              <w:tc>
                <w:tcPr>
                  <w:tcW w:w="288"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工程数量</w:t>
                  </w:r>
                </w:p>
              </w:tc>
              <w:tc>
                <w:tcPr>
                  <w:tcW w:w="1629" w:type="pct"/>
                  <w:gridSpan w:val="3"/>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土石方开挖</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万m</w:t>
                  </w:r>
                  <w:r>
                    <w:rPr>
                      <w:rFonts w:hint="default" w:ascii="Times New Roman" w:hAnsi="Times New Roman" w:eastAsia="仿宋" w:cs="Times New Roman"/>
                      <w:color w:val="auto"/>
                      <w:sz w:val="21"/>
                      <w:szCs w:val="21"/>
                      <w:vertAlign w:val="superscript"/>
                      <w:lang w:val="en-US" w:eastAsia="zh-CN"/>
                    </w:rPr>
                    <w:t>3</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6.8</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288"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629" w:type="pct"/>
                  <w:gridSpan w:val="3"/>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土石方回填</w:t>
                  </w:r>
                </w:p>
              </w:tc>
              <w:tc>
                <w:tcPr>
                  <w:tcW w:w="1334" w:type="pct"/>
                  <w:gridSpan w:val="2"/>
                  <w:vAlign w:val="center"/>
                </w:tcPr>
                <w:p>
                  <w:pPr>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万m</w:t>
                  </w:r>
                  <w:r>
                    <w:rPr>
                      <w:rFonts w:hint="default" w:ascii="Times New Roman" w:hAnsi="Times New Roman" w:eastAsia="仿宋" w:cs="Times New Roman"/>
                      <w:color w:val="auto"/>
                      <w:sz w:val="21"/>
                      <w:szCs w:val="21"/>
                      <w:vertAlign w:val="superscript"/>
                      <w:lang w:val="en-US" w:eastAsia="zh-CN"/>
                    </w:rPr>
                    <w:t>3</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3.9</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288"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629" w:type="pct"/>
                  <w:gridSpan w:val="3"/>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风机基础混凝土</w:t>
                  </w:r>
                </w:p>
              </w:tc>
              <w:tc>
                <w:tcPr>
                  <w:tcW w:w="1334" w:type="pct"/>
                  <w:gridSpan w:val="2"/>
                  <w:vAlign w:val="center"/>
                </w:tcPr>
                <w:p>
                  <w:pPr>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9077</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288"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629" w:type="pct"/>
                  <w:gridSpan w:val="3"/>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风机基础钢筋</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768</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288"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629" w:type="pct"/>
                  <w:gridSpan w:val="3"/>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新建道路</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km</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2.6</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288" w:type="pct"/>
                  <w:vMerge w:val="continue"/>
                  <w:tcBorders>
                    <w:top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629" w:type="pct"/>
                  <w:gridSpan w:val="3"/>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施工</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总工期</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12个月</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restart"/>
                  <w:tcBorders>
                    <w:bottom w:val="nil"/>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经济指标</w:t>
                  </w: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工程总投资（动态投资）</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万元</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27458.51</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装机容量</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50</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bottom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年上网电量</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GWh</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88.84</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6" w:type="pct"/>
                  <w:vMerge w:val="continue"/>
                  <w:tcBorders>
                    <w:top w:val="nil"/>
                  </w:tcBorders>
                  <w:textDirection w:val="tbRlV"/>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918" w:type="pct"/>
                  <w:gridSpan w:val="4"/>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年等效满负荷小时数</w:t>
                  </w:r>
                </w:p>
              </w:tc>
              <w:tc>
                <w:tcPr>
                  <w:tcW w:w="1334" w:type="pct"/>
                  <w:gridSpan w:val="2"/>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小时</w:t>
                  </w:r>
                </w:p>
              </w:tc>
              <w:tc>
                <w:tcPr>
                  <w:tcW w:w="886"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1776.8</w:t>
                  </w:r>
                </w:p>
              </w:tc>
              <w:tc>
                <w:tcPr>
                  <w:tcW w:w="503" w:type="pc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bl>
          <w:p>
            <w:pPr>
              <w:adjustRightInd w:val="0"/>
              <w:snapToGrid w:val="0"/>
              <w:spacing w:line="360" w:lineRule="auto"/>
              <w:rPr>
                <w:rFonts w:hint="eastAsia" w:eastAsia="仿宋" w:cs="Times New Roman"/>
                <w:b/>
                <w:bCs/>
                <w:color w:val="auto"/>
                <w:kern w:val="0"/>
                <w:sz w:val="24"/>
                <w:lang w:eastAsia="zh-CN"/>
              </w:rPr>
            </w:pPr>
            <w:r>
              <w:rPr>
                <w:rFonts w:hint="eastAsia" w:eastAsia="仿宋" w:cs="Times New Roman"/>
                <w:b/>
                <w:bCs/>
                <w:color w:val="auto"/>
                <w:kern w:val="0"/>
                <w:sz w:val="24"/>
                <w:lang w:val="en-US" w:eastAsia="zh-CN"/>
              </w:rPr>
              <w:t>3</w:t>
            </w:r>
            <w:r>
              <w:rPr>
                <w:rFonts w:hint="eastAsia" w:eastAsia="仿宋" w:cs="Times New Roman"/>
                <w:b/>
                <w:bCs/>
                <w:color w:val="auto"/>
                <w:kern w:val="0"/>
                <w:sz w:val="24"/>
                <w:lang w:eastAsia="zh-CN"/>
              </w:rPr>
              <w:t>、项目概况</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（1）风力发电场</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①风力发电机</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本风电场在风电机组单机容量为5000kW，轮毂高度为1</w:t>
            </w:r>
            <w:r>
              <w:rPr>
                <w:rFonts w:hint="eastAsia" w:eastAsia="仿宋" w:cs="Times New Roman"/>
                <w:color w:val="auto"/>
                <w:kern w:val="0"/>
                <w:sz w:val="24"/>
                <w:lang w:val="en-US" w:eastAsia="zh-CN"/>
              </w:rPr>
              <w:t>15</w:t>
            </w:r>
            <w:r>
              <w:rPr>
                <w:rFonts w:hint="eastAsia" w:eastAsia="仿宋" w:cs="Times New Roman"/>
                <w:color w:val="auto"/>
                <w:kern w:val="0"/>
                <w:sz w:val="24"/>
                <w:lang w:eastAsia="zh-CN"/>
              </w:rPr>
              <w:t>m，叶片长度为200m，风电场拟设计安装10台单机容量5000kW的风力发电机组，风电场总装机容量50MW。</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②风力发电量</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本风电场年理论发电量为</w:t>
            </w:r>
            <w:r>
              <w:rPr>
                <w:rFonts w:hint="eastAsia" w:eastAsia="仿宋" w:cs="Times New Roman"/>
                <w:color w:val="auto"/>
                <w:kern w:val="0"/>
                <w:sz w:val="24"/>
                <w:lang w:val="en-US" w:eastAsia="zh-CN"/>
              </w:rPr>
              <w:t>114.46</w:t>
            </w:r>
            <w:r>
              <w:rPr>
                <w:rFonts w:hint="eastAsia" w:eastAsia="仿宋" w:cs="Times New Roman"/>
                <w:color w:val="auto"/>
                <w:kern w:val="0"/>
                <w:sz w:val="24"/>
                <w:lang w:eastAsia="zh-CN"/>
              </w:rPr>
              <w:t>GW•h，年上网电量为88.84GW·h，年等效利用小时数为1776.8h，容量系数0.20</w:t>
            </w:r>
            <w:r>
              <w:rPr>
                <w:rFonts w:hint="eastAsia" w:eastAsia="仿宋" w:cs="Times New Roman"/>
                <w:color w:val="auto"/>
                <w:kern w:val="0"/>
                <w:sz w:val="24"/>
                <w:lang w:val="en-US" w:eastAsia="zh-CN"/>
              </w:rPr>
              <w:t>2</w:t>
            </w:r>
            <w:r>
              <w:rPr>
                <w:rFonts w:hint="eastAsia" w:eastAsia="仿宋" w:cs="Times New Roman"/>
                <w:color w:val="auto"/>
                <w:kern w:val="0"/>
                <w:sz w:val="24"/>
                <w:lang w:eastAsia="zh-CN"/>
              </w:rPr>
              <w:t>。</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③箱式变电站（箱变）与风机的组合方案</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风力发电机额定输出电压为1.14kV，采用“一机一变”单元式接线，对单机容量为</w:t>
            </w:r>
            <w:r>
              <w:rPr>
                <w:rFonts w:hint="eastAsia" w:eastAsia="仿宋" w:cs="Times New Roman"/>
                <w:color w:val="auto"/>
                <w:kern w:val="0"/>
                <w:sz w:val="24"/>
                <w:lang w:val="en-US" w:eastAsia="zh-CN"/>
              </w:rPr>
              <w:t>5MW</w:t>
            </w:r>
            <w:r>
              <w:rPr>
                <w:rFonts w:hint="eastAsia" w:eastAsia="仿宋" w:cs="Times New Roman"/>
                <w:color w:val="auto"/>
                <w:kern w:val="0"/>
                <w:sz w:val="24"/>
                <w:lang w:eastAsia="zh-CN"/>
              </w:rPr>
              <w:t>的风机设置箱变容量为</w:t>
            </w:r>
            <w:r>
              <w:rPr>
                <w:rFonts w:hint="eastAsia" w:eastAsia="仿宋" w:cs="Times New Roman"/>
                <w:color w:val="auto"/>
                <w:kern w:val="0"/>
                <w:sz w:val="24"/>
                <w:lang w:val="en-US" w:eastAsia="zh-CN"/>
              </w:rPr>
              <w:t>5500</w:t>
            </w:r>
            <w:r>
              <w:rPr>
                <w:rFonts w:hint="eastAsia" w:eastAsia="仿宋" w:cs="Times New Roman"/>
                <w:color w:val="auto"/>
                <w:kern w:val="0"/>
                <w:sz w:val="24"/>
                <w:lang w:eastAsia="zh-CN"/>
              </w:rPr>
              <w:t>kVA、电压变比为3</w:t>
            </w:r>
            <w:r>
              <w:rPr>
                <w:rFonts w:hint="eastAsia" w:eastAsia="仿宋" w:cs="Times New Roman"/>
                <w:color w:val="auto"/>
                <w:kern w:val="0"/>
                <w:sz w:val="24"/>
                <w:lang w:val="en-US" w:eastAsia="zh-CN"/>
              </w:rPr>
              <w:t>7</w:t>
            </w:r>
            <w:r>
              <w:rPr>
                <w:rFonts w:hint="eastAsia" w:eastAsia="仿宋" w:cs="Times New Roman"/>
                <w:color w:val="auto"/>
                <w:kern w:val="0"/>
                <w:sz w:val="24"/>
                <w:lang w:eastAsia="zh-CN"/>
              </w:rPr>
              <w:t>/1.14kV箱式变电站，采用</w:t>
            </w:r>
            <w:r>
              <w:rPr>
                <w:rFonts w:hint="eastAsia" w:eastAsia="仿宋" w:cs="Times New Roman"/>
                <w:color w:val="auto"/>
                <w:kern w:val="0"/>
                <w:sz w:val="24"/>
                <w:lang w:val="en-US" w:eastAsia="zh-CN"/>
              </w:rPr>
              <w:t>2</w:t>
            </w:r>
            <w:r>
              <w:rPr>
                <w:rFonts w:hint="eastAsia" w:eastAsia="仿宋" w:cs="Times New Roman"/>
                <w:color w:val="auto"/>
                <w:kern w:val="0"/>
                <w:sz w:val="24"/>
                <w:lang w:eastAsia="zh-CN"/>
              </w:rPr>
              <w:t>回35kV集电线路送至风电场内新建升压站的35kV配电装置，每回35kV集电线路并接</w:t>
            </w:r>
            <w:r>
              <w:rPr>
                <w:rFonts w:hint="eastAsia" w:eastAsia="仿宋" w:cs="Times New Roman"/>
                <w:color w:val="auto"/>
                <w:kern w:val="0"/>
                <w:sz w:val="24"/>
                <w:lang w:val="en-US" w:eastAsia="zh-CN"/>
              </w:rPr>
              <w:t>5</w:t>
            </w:r>
            <w:r>
              <w:rPr>
                <w:rFonts w:hint="eastAsia" w:eastAsia="仿宋" w:cs="Times New Roman"/>
                <w:color w:val="auto"/>
                <w:kern w:val="0"/>
                <w:sz w:val="24"/>
                <w:lang w:eastAsia="zh-CN"/>
              </w:rPr>
              <w:t>台风电机组的箱变。发电机出口与箱式变电站采用3kV低压电缆直埋敷设连接。</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④风力发电机基础</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风机基础拟采用现浇钢筋混凝土圆形扩展基础，</w:t>
            </w:r>
            <w:r>
              <w:rPr>
                <w:rFonts w:hint="eastAsia" w:eastAsia="仿宋" w:cs="Times New Roman"/>
                <w:color w:val="auto"/>
                <w:kern w:val="0"/>
                <w:sz w:val="24"/>
                <w:lang w:val="en-US" w:eastAsia="zh-CN"/>
              </w:rPr>
              <w:t>风机与风机基础采用预应力锚栓连接</w:t>
            </w:r>
            <w:r>
              <w:rPr>
                <w:rFonts w:hint="eastAsia" w:eastAsia="仿宋" w:cs="Times New Roman"/>
                <w:color w:val="auto"/>
                <w:kern w:val="0"/>
                <w:sz w:val="24"/>
                <w:lang w:eastAsia="zh-CN"/>
              </w:rPr>
              <w:t>，</w:t>
            </w:r>
            <w:r>
              <w:rPr>
                <w:rFonts w:hint="eastAsia" w:eastAsia="仿宋" w:cs="Times New Roman"/>
                <w:color w:val="auto"/>
                <w:kern w:val="0"/>
                <w:sz w:val="24"/>
                <w:lang w:val="en-US" w:eastAsia="zh-CN"/>
              </w:rPr>
              <w:t>单台风机基础土建工程量见下表</w:t>
            </w:r>
            <w:r>
              <w:rPr>
                <w:rFonts w:hint="eastAsia" w:eastAsia="仿宋" w:cs="Times New Roman"/>
                <w:color w:val="auto"/>
                <w:kern w:val="0"/>
                <w:sz w:val="24"/>
                <w:lang w:eastAsia="zh-CN"/>
              </w:rPr>
              <w:t>。</w:t>
            </w:r>
          </w:p>
          <w:p>
            <w:pPr>
              <w:spacing w:line="360" w:lineRule="auto"/>
              <w:jc w:val="center"/>
              <w:rPr>
                <w:rFonts w:hint="eastAsia"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rPr>
              <w:t>表2-</w:t>
            </w:r>
            <w:r>
              <w:rPr>
                <w:rFonts w:hint="eastAsia" w:eastAsia="仿宋" w:cs="Times New Roman"/>
                <w:b/>
                <w:color w:val="auto"/>
                <w:szCs w:val="21"/>
                <w:lang w:val="en-US" w:eastAsia="zh-CN"/>
              </w:rPr>
              <w:t>3</w:t>
            </w:r>
            <w:r>
              <w:rPr>
                <w:rFonts w:hint="default" w:ascii="Times New Roman" w:hAnsi="Times New Roman" w:eastAsia="仿宋" w:cs="Times New Roman"/>
                <w:b/>
                <w:color w:val="auto"/>
                <w:szCs w:val="21"/>
              </w:rPr>
              <w:t xml:space="preserve">  </w:t>
            </w:r>
            <w:r>
              <w:rPr>
                <w:rFonts w:hint="eastAsia" w:ascii="Times New Roman" w:hAnsi="Times New Roman" w:eastAsia="仿宋" w:cs="Times New Roman"/>
                <w:b/>
                <w:color w:val="auto"/>
                <w:szCs w:val="21"/>
                <w:lang w:eastAsia="zh-CN"/>
              </w:rPr>
              <w:t>风电机组基础土建工程量表</w:t>
            </w:r>
          </w:p>
          <w:tbl>
            <w:tblPr>
              <w:tblStyle w:val="83"/>
              <w:tblW w:w="8217" w:type="dxa"/>
              <w:tblInd w:w="5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73"/>
              <w:gridCol w:w="3254"/>
              <w:gridCol w:w="1248"/>
              <w:gridCol w:w="1183"/>
              <w:gridCol w:w="1759"/>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tcBorders>
                    <w:top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序号</w:t>
                  </w:r>
                </w:p>
              </w:tc>
              <w:tc>
                <w:tcPr>
                  <w:tcW w:w="3254" w:type="dxa"/>
                  <w:tcBorders>
                    <w:top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项目</w:t>
                  </w:r>
                </w:p>
              </w:tc>
              <w:tc>
                <w:tcPr>
                  <w:tcW w:w="1248" w:type="dxa"/>
                  <w:tcBorders>
                    <w:top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单位</w:t>
                  </w:r>
                </w:p>
              </w:tc>
              <w:tc>
                <w:tcPr>
                  <w:tcW w:w="1183" w:type="dxa"/>
                  <w:tcBorders>
                    <w:top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工程量</w:t>
                  </w:r>
                </w:p>
              </w:tc>
              <w:tc>
                <w:tcPr>
                  <w:tcW w:w="1759" w:type="dxa"/>
                  <w:tcBorders>
                    <w:top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备注</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restar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风机基础</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10台</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土石方开挖</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26641</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土石比2:8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土方回填</w:t>
                  </w:r>
                </w:p>
              </w:tc>
              <w:tc>
                <w:tcPr>
                  <w:tcW w:w="1248" w:type="dxa"/>
                  <w:vAlign w:val="center"/>
                </w:tcPr>
                <w:p>
                  <w:pPr>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18945</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压实系数≥0.96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C20混凝土</w:t>
                  </w:r>
                </w:p>
              </w:tc>
              <w:tc>
                <w:tcPr>
                  <w:tcW w:w="1248" w:type="dxa"/>
                  <w:vAlign w:val="center"/>
                </w:tcPr>
                <w:p>
                  <w:pPr>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401</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C40混凝土</w:t>
                  </w:r>
                </w:p>
              </w:tc>
              <w:tc>
                <w:tcPr>
                  <w:tcW w:w="1248" w:type="dxa"/>
                  <w:vAlign w:val="center"/>
                </w:tcPr>
                <w:p>
                  <w:pPr>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7466</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HRB400钢筋</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686.90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风机环氧树脂防腐涂层（500μm）</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2</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5128</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JK-7型螺旋型聚乙烯醇纤维</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锚栓安装</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240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不锈钢沉降观测点</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套</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成品电子测温点</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套</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基础灌浆（C130）</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7.2</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Q235B基础预埋件</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3.3</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。160电缆PE管</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2000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。50排水PE管</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接地用热镀锌扁钢</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1800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restart"/>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沉降观测标</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土石方开挖</w:t>
                  </w:r>
                </w:p>
              </w:tc>
              <w:tc>
                <w:tcPr>
                  <w:tcW w:w="1248"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土石比2:8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土方回填</w:t>
                  </w:r>
                </w:p>
              </w:tc>
              <w:tc>
                <w:tcPr>
                  <w:tcW w:w="1248" w:type="dxa"/>
                  <w:vAlign w:val="center"/>
                </w:tcPr>
                <w:p>
                  <w:pPr>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270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压实系数≥0.96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C30混凝土</w:t>
                  </w:r>
                </w:p>
              </w:tc>
              <w:tc>
                <w:tcPr>
                  <w:tcW w:w="1248" w:type="dxa"/>
                  <w:vAlign w:val="center"/>
                </w:tcPr>
                <w:p>
                  <w:pPr>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p>
              </w:tc>
              <w:tc>
                <w:tcPr>
                  <w:tcW w:w="1183"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w:t>
                  </w:r>
                </w:p>
              </w:tc>
              <w:tc>
                <w:tcPr>
                  <w:tcW w:w="1759" w:type="dxa"/>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3" w:type="dxa"/>
                  <w:vMerge w:val="continue"/>
                  <w:tcBorders>
                    <w:bottom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c>
                <w:tcPr>
                  <w:tcW w:w="3254" w:type="dxa"/>
                  <w:tcBorders>
                    <w:bottom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Q235B预埋件</w:t>
                  </w:r>
                </w:p>
              </w:tc>
              <w:tc>
                <w:tcPr>
                  <w:tcW w:w="1248" w:type="dxa"/>
                  <w:tcBorders>
                    <w:bottom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1183" w:type="dxa"/>
                  <w:tcBorders>
                    <w:bottom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1759" w:type="dxa"/>
                  <w:tcBorders>
                    <w:bottom w:val="single" w:color="000000" w:sz="12" w:space="0"/>
                  </w:tcBorders>
                  <w:vAlign w:val="center"/>
                </w:tcPr>
                <w:p>
                  <w:pPr>
                    <w:pStyle w:val="84"/>
                    <w:ind w:firstLine="0" w:firstLineChars="0"/>
                    <w:jc w:val="center"/>
                    <w:rPr>
                      <w:rFonts w:hint="default" w:ascii="Times New Roman" w:hAnsi="Times New Roman" w:eastAsia="仿宋" w:cs="Times New Roman"/>
                      <w:color w:val="auto"/>
                      <w:sz w:val="21"/>
                      <w:szCs w:val="21"/>
                      <w:lang w:val="en-US" w:eastAsia="zh-CN"/>
                    </w:rPr>
                  </w:pPr>
                </w:p>
              </w:tc>
            </w:tr>
          </w:tbl>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（2）</w:t>
            </w:r>
            <w:r>
              <w:rPr>
                <w:rFonts w:hint="eastAsia" w:eastAsia="仿宋" w:cs="Times New Roman"/>
                <w:color w:val="auto"/>
                <w:kern w:val="0"/>
                <w:sz w:val="24"/>
                <w:lang w:eastAsia="zh-CN"/>
              </w:rPr>
              <w:t>110kV</w:t>
            </w:r>
            <w:r>
              <w:rPr>
                <w:rFonts w:hint="default" w:eastAsia="仿宋" w:cs="Times New Roman"/>
                <w:color w:val="auto"/>
                <w:kern w:val="0"/>
                <w:sz w:val="24"/>
                <w:lang w:eastAsia="zh-CN"/>
              </w:rPr>
              <w:t>升压站</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新建1座</w:t>
            </w:r>
            <w:r>
              <w:rPr>
                <w:rFonts w:hint="eastAsia" w:eastAsia="仿宋" w:cs="Times New Roman"/>
                <w:color w:val="auto"/>
                <w:kern w:val="0"/>
                <w:sz w:val="24"/>
                <w:lang w:eastAsia="zh-CN"/>
              </w:rPr>
              <w:t>110kV</w:t>
            </w:r>
            <w:r>
              <w:rPr>
                <w:rFonts w:hint="default" w:eastAsia="仿宋" w:cs="Times New Roman"/>
                <w:color w:val="auto"/>
                <w:kern w:val="0"/>
                <w:sz w:val="24"/>
                <w:lang w:eastAsia="zh-CN"/>
              </w:rPr>
              <w:t>升压站，位于风电场</w:t>
            </w:r>
            <w:r>
              <w:rPr>
                <w:rFonts w:hint="eastAsia" w:eastAsia="仿宋" w:cs="Times New Roman"/>
                <w:color w:val="auto"/>
                <w:kern w:val="0"/>
                <w:sz w:val="24"/>
                <w:lang w:val="en-US" w:eastAsia="zh-CN"/>
              </w:rPr>
              <w:t>中部区域</w:t>
            </w:r>
            <w:r>
              <w:rPr>
                <w:rFonts w:hint="default" w:eastAsia="仿宋" w:cs="Times New Roman"/>
                <w:color w:val="auto"/>
                <w:kern w:val="0"/>
                <w:sz w:val="24"/>
                <w:lang w:eastAsia="zh-CN"/>
              </w:rPr>
              <w:t>，</w:t>
            </w:r>
            <w:r>
              <w:rPr>
                <w:rFonts w:hint="eastAsia" w:eastAsia="仿宋" w:cs="Times New Roman"/>
                <w:color w:val="auto"/>
                <w:kern w:val="0"/>
                <w:sz w:val="24"/>
                <w:lang w:val="en-US" w:eastAsia="zh-CN"/>
              </w:rPr>
              <w:t>位于北极乡王家坝村附近</w:t>
            </w:r>
            <w:r>
              <w:rPr>
                <w:rFonts w:hint="default" w:eastAsia="仿宋" w:cs="Times New Roman"/>
                <w:color w:val="auto"/>
                <w:kern w:val="0"/>
                <w:sz w:val="24"/>
                <w:lang w:eastAsia="zh-CN"/>
              </w:rPr>
              <w:t>，地块现状为</w:t>
            </w:r>
            <w:r>
              <w:rPr>
                <w:rFonts w:hint="eastAsia" w:eastAsia="仿宋" w:cs="Times New Roman"/>
                <w:color w:val="auto"/>
                <w:kern w:val="0"/>
                <w:sz w:val="24"/>
                <w:lang w:val="en-US" w:eastAsia="zh-CN"/>
              </w:rPr>
              <w:t>林地</w:t>
            </w:r>
            <w:r>
              <w:rPr>
                <w:rFonts w:hint="default" w:eastAsia="仿宋" w:cs="Times New Roman"/>
                <w:color w:val="auto"/>
                <w:kern w:val="0"/>
                <w:sz w:val="24"/>
                <w:lang w:eastAsia="zh-CN"/>
              </w:rPr>
              <w:t>。站区主要分为配电装置区及办公生活区，站区长</w:t>
            </w:r>
            <w:r>
              <w:rPr>
                <w:rFonts w:hint="eastAsia" w:eastAsia="仿宋" w:cs="Times New Roman"/>
                <w:color w:val="auto"/>
                <w:kern w:val="0"/>
                <w:sz w:val="24"/>
                <w:lang w:val="en-US" w:eastAsia="zh-CN"/>
              </w:rPr>
              <w:t>73.6</w:t>
            </w:r>
            <w:r>
              <w:rPr>
                <w:rFonts w:hint="default" w:eastAsia="仿宋" w:cs="Times New Roman"/>
                <w:color w:val="auto"/>
                <w:kern w:val="0"/>
                <w:sz w:val="24"/>
                <w:lang w:eastAsia="zh-CN"/>
              </w:rPr>
              <w:t>m，宽</w:t>
            </w:r>
            <w:r>
              <w:rPr>
                <w:rFonts w:hint="eastAsia" w:eastAsia="仿宋" w:cs="Times New Roman"/>
                <w:color w:val="auto"/>
                <w:kern w:val="0"/>
                <w:sz w:val="24"/>
                <w:lang w:val="en-US" w:eastAsia="zh-CN"/>
              </w:rPr>
              <w:t>71</w:t>
            </w:r>
            <w:r>
              <w:rPr>
                <w:rFonts w:hint="default" w:eastAsia="仿宋" w:cs="Times New Roman"/>
                <w:color w:val="auto"/>
                <w:kern w:val="0"/>
                <w:sz w:val="24"/>
                <w:lang w:eastAsia="zh-CN"/>
              </w:rPr>
              <w:t>m。升压站围墙内占地面积</w:t>
            </w:r>
            <w:r>
              <w:rPr>
                <w:rFonts w:hint="eastAsia" w:eastAsia="仿宋" w:cs="Times New Roman"/>
                <w:color w:val="auto"/>
                <w:kern w:val="0"/>
                <w:sz w:val="24"/>
                <w:lang w:eastAsia="zh-CN"/>
              </w:rPr>
              <w:t>5226</w:t>
            </w:r>
            <w:r>
              <w:rPr>
                <w:rFonts w:hint="default" w:eastAsia="仿宋" w:cs="Times New Roman"/>
                <w:color w:val="auto"/>
                <w:kern w:val="0"/>
                <w:sz w:val="24"/>
                <w:lang w:eastAsia="zh-CN"/>
              </w:rPr>
              <w:t>m</w:t>
            </w:r>
            <w:r>
              <w:rPr>
                <w:rFonts w:hint="default" w:eastAsia="仿宋" w:cs="Times New Roman"/>
                <w:color w:val="auto"/>
                <w:kern w:val="0"/>
                <w:sz w:val="24"/>
                <w:vertAlign w:val="superscript"/>
                <w:lang w:eastAsia="zh-CN"/>
              </w:rPr>
              <w:t>2</w:t>
            </w:r>
            <w:r>
              <w:rPr>
                <w:rFonts w:hint="default" w:eastAsia="仿宋" w:cs="Times New Roman"/>
                <w:color w:val="auto"/>
                <w:kern w:val="0"/>
                <w:sz w:val="24"/>
                <w:lang w:eastAsia="zh-CN"/>
              </w:rPr>
              <w:t>，采用户外布置，建设一台</w:t>
            </w:r>
            <w:r>
              <w:rPr>
                <w:rFonts w:hint="eastAsia" w:eastAsia="仿宋" w:cs="Times New Roman"/>
                <w:color w:val="auto"/>
                <w:kern w:val="0"/>
                <w:sz w:val="24"/>
                <w:lang w:eastAsia="zh-CN"/>
              </w:rPr>
              <w:t>50MVA</w:t>
            </w:r>
            <w:r>
              <w:rPr>
                <w:rFonts w:hint="default" w:eastAsia="仿宋" w:cs="Times New Roman"/>
                <w:color w:val="auto"/>
                <w:kern w:val="0"/>
                <w:sz w:val="24"/>
                <w:lang w:eastAsia="zh-CN"/>
              </w:rPr>
              <w:t>主变压器，型号为</w:t>
            </w:r>
            <w:r>
              <w:rPr>
                <w:rFonts w:hint="eastAsia" w:eastAsia="仿宋" w:cs="Times New Roman"/>
                <w:color w:val="auto"/>
                <w:kern w:val="0"/>
                <w:sz w:val="24"/>
                <w:lang w:eastAsia="zh-CN"/>
              </w:rPr>
              <w:t>SZ18-50000/110</w:t>
            </w:r>
            <w:r>
              <w:rPr>
                <w:rFonts w:hint="default" w:eastAsia="仿宋" w:cs="Times New Roman"/>
                <w:color w:val="auto"/>
                <w:kern w:val="0"/>
                <w:sz w:val="24"/>
                <w:lang w:eastAsia="zh-CN"/>
              </w:rPr>
              <w:t>。</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站区主要布置有检修舱、消防</w:t>
            </w:r>
            <w:r>
              <w:rPr>
                <w:rFonts w:hint="eastAsia" w:eastAsia="仿宋" w:cs="Times New Roman"/>
                <w:color w:val="auto"/>
                <w:kern w:val="0"/>
                <w:sz w:val="24"/>
                <w:lang w:val="en-US" w:eastAsia="zh-CN"/>
              </w:rPr>
              <w:t>小室</w:t>
            </w:r>
            <w:r>
              <w:rPr>
                <w:rFonts w:hint="default" w:eastAsia="仿宋" w:cs="Times New Roman"/>
                <w:color w:val="auto"/>
                <w:kern w:val="0"/>
                <w:sz w:val="24"/>
                <w:lang w:eastAsia="zh-CN"/>
              </w:rPr>
              <w:t>、消防水池、主变、35kV预制舱、站用变及低压配电舱、SVG、危废暂存间、独立避雷针、GIS及出线构架等，电气出线朝</w:t>
            </w:r>
            <w:r>
              <w:rPr>
                <w:rFonts w:hint="eastAsia" w:eastAsia="仿宋" w:cs="Times New Roman"/>
                <w:color w:val="auto"/>
                <w:kern w:val="0"/>
                <w:sz w:val="24"/>
                <w:lang w:val="en-US" w:eastAsia="zh-CN"/>
              </w:rPr>
              <w:t>西</w:t>
            </w:r>
            <w:r>
              <w:rPr>
                <w:rFonts w:hint="default" w:eastAsia="仿宋" w:cs="Times New Roman"/>
                <w:color w:val="auto"/>
                <w:kern w:val="0"/>
                <w:sz w:val="24"/>
                <w:lang w:eastAsia="zh-CN"/>
              </w:rPr>
              <w:t>南。各建筑物简介如下：</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检修舱</w:t>
            </w:r>
            <w:r>
              <w:rPr>
                <w:rFonts w:hint="eastAsia" w:eastAsia="仿宋" w:cs="Times New Roman"/>
                <w:color w:val="auto"/>
                <w:kern w:val="0"/>
                <w:sz w:val="24"/>
                <w:lang w:eastAsia="zh-CN"/>
              </w:rPr>
              <w:t>：</w:t>
            </w:r>
            <w:r>
              <w:rPr>
                <w:rFonts w:hint="default" w:eastAsia="仿宋" w:cs="Times New Roman"/>
                <w:color w:val="auto"/>
                <w:kern w:val="0"/>
                <w:sz w:val="24"/>
                <w:lang w:eastAsia="zh-CN"/>
              </w:rPr>
              <w:t>由两个整舱呈L形布置组成。布置有三个休息</w:t>
            </w:r>
            <w:r>
              <w:rPr>
                <w:rFonts w:hint="eastAsia" w:eastAsia="仿宋" w:cs="Times New Roman"/>
                <w:color w:val="auto"/>
                <w:kern w:val="0"/>
                <w:sz w:val="24"/>
                <w:lang w:val="en-US" w:eastAsia="zh-CN"/>
              </w:rPr>
              <w:t>室</w:t>
            </w:r>
            <w:r>
              <w:rPr>
                <w:rFonts w:hint="default" w:eastAsia="仿宋" w:cs="Times New Roman"/>
                <w:color w:val="auto"/>
                <w:kern w:val="0"/>
                <w:sz w:val="24"/>
                <w:lang w:eastAsia="zh-CN"/>
              </w:rPr>
              <w:t>，一个餐厅，两个卫生间，一个淋浴间。休息室布置两张单人床，按2人设计。</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1#预制舱</w:t>
            </w:r>
            <w:r>
              <w:rPr>
                <w:rFonts w:hint="eastAsia" w:eastAsia="仿宋" w:cs="Times New Roman"/>
                <w:color w:val="auto"/>
                <w:kern w:val="0"/>
                <w:sz w:val="24"/>
                <w:lang w:eastAsia="zh-CN"/>
              </w:rPr>
              <w:t>：</w:t>
            </w:r>
            <w:r>
              <w:rPr>
                <w:rFonts w:hint="default" w:eastAsia="仿宋" w:cs="Times New Roman"/>
                <w:color w:val="auto"/>
                <w:kern w:val="0"/>
                <w:sz w:val="24"/>
                <w:lang w:eastAsia="zh-CN"/>
              </w:rPr>
              <w:t>平面尺寸为16.0m*3.4m，平屋面形式，采用专业厂家成品预制，天然地基，钢筋混凝土条形基础。</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2#预制舱</w:t>
            </w:r>
            <w:r>
              <w:rPr>
                <w:rFonts w:hint="eastAsia" w:eastAsia="仿宋" w:cs="Times New Roman"/>
                <w:color w:val="auto"/>
                <w:kern w:val="0"/>
                <w:sz w:val="24"/>
                <w:lang w:eastAsia="zh-CN"/>
              </w:rPr>
              <w:t>：</w:t>
            </w:r>
            <w:r>
              <w:rPr>
                <w:rFonts w:hint="default" w:eastAsia="仿宋" w:cs="Times New Roman"/>
                <w:color w:val="auto"/>
                <w:kern w:val="0"/>
                <w:sz w:val="24"/>
                <w:lang w:eastAsia="zh-CN"/>
              </w:rPr>
              <w:t>平面尺寸为17.0m*3.4m，平屋面形式，采用专业厂家成品预制，天然地基，钢筋混凝土条形基础。</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站用变舱</w:t>
            </w:r>
            <w:r>
              <w:rPr>
                <w:rFonts w:hint="eastAsia" w:eastAsia="仿宋" w:cs="Times New Roman"/>
                <w:color w:val="auto"/>
                <w:kern w:val="0"/>
                <w:sz w:val="24"/>
                <w:lang w:eastAsia="zh-CN"/>
              </w:rPr>
              <w:t>：</w:t>
            </w:r>
            <w:r>
              <w:rPr>
                <w:rFonts w:hint="default" w:eastAsia="仿宋" w:cs="Times New Roman"/>
                <w:color w:val="auto"/>
                <w:kern w:val="0"/>
                <w:sz w:val="24"/>
                <w:lang w:eastAsia="zh-CN"/>
              </w:rPr>
              <w:t>平面尺寸为8.0m*3.0m，平屋面形式，采用专业厂家成品预制，天然地基，钢筋混凝土条形基础。</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35kV配电舱</w:t>
            </w:r>
            <w:r>
              <w:rPr>
                <w:rFonts w:hint="eastAsia" w:eastAsia="仿宋" w:cs="Times New Roman"/>
                <w:color w:val="auto"/>
                <w:kern w:val="0"/>
                <w:sz w:val="24"/>
                <w:lang w:eastAsia="zh-CN"/>
              </w:rPr>
              <w:t>：</w:t>
            </w:r>
            <w:r>
              <w:rPr>
                <w:rFonts w:hint="default" w:eastAsia="仿宋" w:cs="Times New Roman"/>
                <w:color w:val="auto"/>
                <w:kern w:val="0"/>
                <w:sz w:val="24"/>
                <w:lang w:eastAsia="zh-CN"/>
              </w:rPr>
              <w:t>平面尺寸为7.9m*3.5m，平屋面形式，采用专业厂家成品预制，天然地基，钢筋混凝土条形基础。</w:t>
            </w:r>
          </w:p>
          <w:p>
            <w:pPr>
              <w:adjustRightInd w:val="0"/>
              <w:snapToGrid w:val="0"/>
              <w:spacing w:line="360" w:lineRule="auto"/>
              <w:ind w:firstLine="480" w:firstLineChars="200"/>
              <w:rPr>
                <w:rFonts w:hint="default" w:eastAsia="仿宋" w:cs="Times New Roman"/>
                <w:color w:val="auto"/>
                <w:kern w:val="0"/>
                <w:sz w:val="24"/>
                <w:lang w:eastAsia="zh-CN"/>
              </w:rPr>
            </w:pPr>
            <w:r>
              <w:rPr>
                <w:rFonts w:hint="eastAsia" w:eastAsia="仿宋" w:cs="Times New Roman"/>
                <w:color w:val="auto"/>
                <w:kern w:val="0"/>
                <w:sz w:val="24"/>
                <w:lang w:val="en-US" w:eastAsia="zh-CN"/>
              </w:rPr>
              <w:t>危险废物暂存间</w:t>
            </w:r>
            <w:r>
              <w:rPr>
                <w:rFonts w:hint="eastAsia" w:eastAsia="仿宋" w:cs="Times New Roman"/>
                <w:color w:val="auto"/>
                <w:kern w:val="0"/>
                <w:sz w:val="24"/>
                <w:lang w:eastAsia="zh-CN"/>
              </w:rPr>
              <w:t>：</w:t>
            </w:r>
            <w:r>
              <w:rPr>
                <w:rFonts w:hint="default" w:eastAsia="仿宋" w:cs="Times New Roman"/>
                <w:color w:val="auto"/>
                <w:kern w:val="0"/>
                <w:sz w:val="24"/>
                <w:lang w:eastAsia="zh-CN"/>
              </w:rPr>
              <w:t>平面尺寸为3.0m*3.4m，平屋面形式，采用专业厂家成品预制，天然地基，钢筋混凝土条形基础。</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成品消防小室</w:t>
            </w:r>
            <w:r>
              <w:rPr>
                <w:rFonts w:hint="eastAsia" w:eastAsia="仿宋" w:cs="Times New Roman"/>
                <w:color w:val="auto"/>
                <w:kern w:val="0"/>
                <w:sz w:val="24"/>
                <w:lang w:eastAsia="zh-CN"/>
              </w:rPr>
              <w:t>：</w:t>
            </w:r>
            <w:r>
              <w:rPr>
                <w:rFonts w:hint="default" w:eastAsia="仿宋" w:cs="Times New Roman"/>
                <w:color w:val="auto"/>
                <w:kern w:val="0"/>
                <w:sz w:val="24"/>
                <w:lang w:eastAsia="zh-CN"/>
              </w:rPr>
              <w:t>平面尺寸为3.0m*2.2m，采用专业厂家成品预制，天然地基，钢筋混凝土条形基础。</w:t>
            </w:r>
          </w:p>
          <w:p>
            <w:pPr>
              <w:adjustRightInd w:val="0"/>
              <w:snapToGrid w:val="0"/>
              <w:spacing w:line="360" w:lineRule="auto"/>
              <w:ind w:firstLine="480" w:firstLineChars="200"/>
              <w:rPr>
                <w:rFonts w:hint="default" w:eastAsia="仿宋" w:cs="Times New Roman"/>
                <w:color w:val="auto"/>
                <w:kern w:val="0"/>
                <w:sz w:val="24"/>
                <w:lang w:eastAsia="zh-CN"/>
              </w:rPr>
            </w:pPr>
          </w:p>
          <w:p>
            <w:pPr>
              <w:adjustRightInd w:val="0"/>
              <w:snapToGrid w:val="0"/>
              <w:spacing w:line="360" w:lineRule="auto"/>
              <w:ind w:firstLine="480" w:firstLineChars="200"/>
              <w:rPr>
                <w:rFonts w:hint="default" w:eastAsia="仿宋" w:cs="Times New Roman"/>
                <w:color w:val="auto"/>
                <w:kern w:val="0"/>
                <w:sz w:val="24"/>
                <w:lang w:eastAsia="zh-CN"/>
              </w:rPr>
            </w:pPr>
          </w:p>
          <w:p>
            <w:pPr>
              <w:adjustRightInd w:val="0"/>
              <w:snapToGrid w:val="0"/>
              <w:spacing w:line="360" w:lineRule="auto"/>
              <w:ind w:firstLine="480" w:firstLineChars="200"/>
              <w:rPr>
                <w:rFonts w:hint="default" w:eastAsia="仿宋" w:cs="Times New Roman"/>
                <w:color w:val="auto"/>
                <w:kern w:val="0"/>
                <w:sz w:val="24"/>
                <w:lang w:eastAsia="zh-CN"/>
              </w:rPr>
            </w:pPr>
          </w:p>
          <w:p>
            <w:pPr>
              <w:adjustRightInd w:val="0"/>
              <w:snapToGrid w:val="0"/>
              <w:spacing w:line="360" w:lineRule="auto"/>
              <w:ind w:firstLine="480" w:firstLineChars="200"/>
              <w:rPr>
                <w:rFonts w:hint="default" w:eastAsia="仿宋" w:cs="Times New Roman"/>
                <w:color w:val="auto"/>
                <w:kern w:val="0"/>
                <w:sz w:val="24"/>
                <w:lang w:eastAsia="zh-CN"/>
              </w:rPr>
            </w:pPr>
          </w:p>
          <w:p>
            <w:pPr>
              <w:adjustRightInd w:val="0"/>
              <w:snapToGrid w:val="0"/>
              <w:spacing w:line="360" w:lineRule="auto"/>
              <w:ind w:firstLine="480" w:firstLineChars="200"/>
              <w:rPr>
                <w:rFonts w:hint="default" w:eastAsia="仿宋" w:cs="Times New Roman"/>
                <w:color w:val="auto"/>
                <w:kern w:val="0"/>
                <w:sz w:val="24"/>
                <w:lang w:eastAsia="zh-CN"/>
              </w:rPr>
            </w:pPr>
          </w:p>
          <w:p>
            <w:pPr>
              <w:adjustRightInd w:val="0"/>
              <w:snapToGrid w:val="0"/>
              <w:spacing w:line="360" w:lineRule="auto"/>
              <w:ind w:firstLine="480" w:firstLineChars="200"/>
              <w:jc w:val="center"/>
              <w:rPr>
                <w:rFonts w:hint="default" w:eastAsia="仿宋" w:cs="Times New Roman"/>
                <w:color w:val="auto"/>
                <w:kern w:val="0"/>
                <w:sz w:val="24"/>
                <w:lang w:eastAsia="zh-CN"/>
              </w:rPr>
            </w:pPr>
            <w:r>
              <w:rPr>
                <w:rFonts w:hint="default" w:eastAsia="仿宋" w:cs="Times New Roman"/>
                <w:color w:val="auto"/>
                <w:kern w:val="0"/>
                <w:sz w:val="24"/>
                <w:lang w:eastAsia="zh-CN"/>
              </w:rPr>
              <w:drawing>
                <wp:anchor distT="0" distB="0" distL="114300" distR="114300" simplePos="0" relativeHeight="251660288" behindDoc="0" locked="0" layoutInCell="1" allowOverlap="1">
                  <wp:simplePos x="0" y="0"/>
                  <wp:positionH relativeFrom="column">
                    <wp:posOffset>4630420</wp:posOffset>
                  </wp:positionH>
                  <wp:positionV relativeFrom="paragraph">
                    <wp:posOffset>47625</wp:posOffset>
                  </wp:positionV>
                  <wp:extent cx="313690" cy="544830"/>
                  <wp:effectExtent l="134620" t="38735" r="142240" b="45085"/>
                  <wp:wrapNone/>
                  <wp:docPr id="8" name="图片 8"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指北针"/>
                          <pic:cNvPicPr>
                            <a:picLocks noChangeAspect="1"/>
                          </pic:cNvPicPr>
                        </pic:nvPicPr>
                        <pic:blipFill>
                          <a:blip r:embed="rId13"/>
                          <a:stretch>
                            <a:fillRect/>
                          </a:stretch>
                        </pic:blipFill>
                        <pic:spPr>
                          <a:xfrm rot="2280000">
                            <a:off x="0" y="0"/>
                            <a:ext cx="313690" cy="544830"/>
                          </a:xfrm>
                          <a:prstGeom prst="rect">
                            <a:avLst/>
                          </a:prstGeom>
                        </pic:spPr>
                      </pic:pic>
                    </a:graphicData>
                  </a:graphic>
                </wp:anchor>
              </w:drawing>
            </w:r>
            <w:r>
              <w:rPr>
                <w:rFonts w:hint="default" w:eastAsia="仿宋" w:cs="Times New Roman"/>
                <w:color w:val="auto"/>
                <w:kern w:val="0"/>
                <w:sz w:val="24"/>
                <w:lang w:eastAsia="zh-CN"/>
              </w:rPr>
              <w:drawing>
                <wp:inline distT="0" distB="0" distL="114300" distR="114300">
                  <wp:extent cx="3061970" cy="2966720"/>
                  <wp:effectExtent l="0" t="0" r="0" b="0"/>
                  <wp:docPr id="16" name="图片 16" descr="Z01升压站平面布置图0708 - 副本-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01升压站平面布置图0708 - 副本-模型_00"/>
                          <pic:cNvPicPr>
                            <a:picLocks noChangeAspect="1"/>
                          </pic:cNvPicPr>
                        </pic:nvPicPr>
                        <pic:blipFill>
                          <a:blip r:embed="rId14"/>
                          <a:srcRect l="16488" t="17229" r="25437" b="3153"/>
                          <a:stretch>
                            <a:fillRect/>
                          </a:stretch>
                        </pic:blipFill>
                        <pic:spPr>
                          <a:xfrm>
                            <a:off x="0" y="0"/>
                            <a:ext cx="3061970" cy="2966720"/>
                          </a:xfrm>
                          <a:prstGeom prst="rect">
                            <a:avLst/>
                          </a:prstGeom>
                        </pic:spPr>
                      </pic:pic>
                    </a:graphicData>
                  </a:graphic>
                </wp:inline>
              </w:drawing>
            </w:r>
          </w:p>
          <w:p>
            <w:pPr>
              <w:adjustRightInd w:val="0"/>
              <w:snapToGrid w:val="0"/>
              <w:spacing w:line="360" w:lineRule="auto"/>
              <w:ind w:firstLine="422" w:firstLineChars="200"/>
              <w:jc w:val="center"/>
              <w:rPr>
                <w:rFonts w:hint="default" w:eastAsia="仿宋" w:cs="Times New Roman"/>
                <w:color w:val="auto"/>
                <w:kern w:val="0"/>
                <w:sz w:val="24"/>
                <w:lang w:val="en-US" w:eastAsia="zh-CN"/>
              </w:rPr>
            </w:pPr>
            <w:r>
              <w:rPr>
                <w:rFonts w:hint="default" w:ascii="Times New Roman" w:hAnsi="Times New Roman" w:eastAsia="仿宋" w:cs="Times New Roman"/>
                <w:b/>
                <w:color w:val="auto"/>
                <w:kern w:val="0"/>
                <w:szCs w:val="21"/>
              </w:rPr>
              <w:t>图2-</w:t>
            </w:r>
            <w:r>
              <w:rPr>
                <w:rFonts w:hint="eastAsia" w:eastAsia="仿宋" w:cs="Times New Roman"/>
                <w:b/>
                <w:color w:val="auto"/>
                <w:kern w:val="0"/>
                <w:szCs w:val="21"/>
                <w:lang w:val="en-US" w:eastAsia="zh-CN"/>
              </w:rPr>
              <w:t>2</w:t>
            </w:r>
            <w:r>
              <w:rPr>
                <w:rFonts w:hint="default" w:ascii="Times New Roman" w:hAnsi="Times New Roman" w:eastAsia="仿宋" w:cs="Times New Roman"/>
                <w:b/>
                <w:color w:val="auto"/>
                <w:kern w:val="0"/>
                <w:szCs w:val="21"/>
              </w:rPr>
              <w:t xml:space="preserve">  </w:t>
            </w:r>
            <w:r>
              <w:rPr>
                <w:rFonts w:hint="eastAsia" w:eastAsia="仿宋" w:cs="Times New Roman"/>
                <w:b/>
                <w:color w:val="auto"/>
                <w:kern w:val="0"/>
                <w:szCs w:val="21"/>
                <w:lang w:val="en-US" w:eastAsia="zh-CN"/>
              </w:rPr>
              <w:t>升压站平面布置图</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（3）辅助工程</w:t>
            </w:r>
          </w:p>
          <w:p>
            <w:pPr>
              <w:adjustRightInd w:val="0"/>
              <w:snapToGrid w:val="0"/>
              <w:spacing w:line="360" w:lineRule="auto"/>
              <w:ind w:firstLine="480" w:firstLineChars="200"/>
              <w:rPr>
                <w:rFonts w:hint="default" w:eastAsia="仿宋" w:cs="Times New Roman"/>
                <w:color w:val="auto"/>
                <w:kern w:val="0"/>
                <w:sz w:val="24"/>
                <w:lang w:eastAsia="zh-CN"/>
              </w:rPr>
            </w:pPr>
            <w:r>
              <w:rPr>
                <w:rFonts w:hint="default" w:eastAsia="仿宋" w:cs="Times New Roman"/>
                <w:color w:val="auto"/>
                <w:kern w:val="0"/>
                <w:sz w:val="24"/>
                <w:lang w:eastAsia="zh-CN"/>
              </w:rPr>
              <w:t>①场区道路</w:t>
            </w:r>
          </w:p>
          <w:p>
            <w:pPr>
              <w:adjustRightInd w:val="0"/>
              <w:snapToGrid w:val="0"/>
              <w:spacing w:line="360" w:lineRule="auto"/>
              <w:ind w:firstLine="480" w:firstLineChars="200"/>
              <w:rPr>
                <w:rFonts w:hint="eastAsia" w:eastAsia="仿宋" w:cs="Times New Roman"/>
                <w:color w:val="auto"/>
                <w:kern w:val="0"/>
                <w:sz w:val="24"/>
                <w:lang w:eastAsia="zh-CN"/>
              </w:rPr>
            </w:pPr>
            <w:r>
              <w:rPr>
                <w:rFonts w:hint="default" w:eastAsia="仿宋" w:cs="Times New Roman"/>
                <w:color w:val="auto"/>
                <w:kern w:val="0"/>
                <w:sz w:val="24"/>
                <w:lang w:eastAsia="zh-CN"/>
              </w:rPr>
              <w:t>本项目风电场对外交通方便，周边省道及县乡道纵横交错，内部分布乡村道路，交通较为便利。考虑到本项目主要功能为满足本项目设备车辆运输及施工车辆进出，其运行速度较低，仅在急弯以及现有道路改造路段设置超高，参照农村路改造标准，</w:t>
            </w:r>
            <w:r>
              <w:rPr>
                <w:rFonts w:hint="eastAsia" w:eastAsia="仿宋" w:cs="Times New Roman"/>
                <w:color w:val="auto"/>
                <w:kern w:val="0"/>
                <w:sz w:val="24"/>
                <w:lang w:eastAsia="zh-CN"/>
              </w:rPr>
              <w:t>按最大超高坡度</w:t>
            </w:r>
            <w:r>
              <w:rPr>
                <w:rFonts w:hint="eastAsia" w:eastAsia="仿宋" w:cs="Times New Roman"/>
                <w:color w:val="auto"/>
                <w:kern w:val="0"/>
                <w:sz w:val="24"/>
                <w:lang w:val="en-US" w:eastAsia="zh-CN"/>
              </w:rPr>
              <w:t>3</w:t>
            </w:r>
            <w:r>
              <w:rPr>
                <w:rFonts w:hint="eastAsia" w:eastAsia="仿宋" w:cs="Times New Roman"/>
                <w:color w:val="auto"/>
                <w:kern w:val="0"/>
                <w:sz w:val="24"/>
                <w:lang w:eastAsia="zh-CN"/>
              </w:rPr>
              <w:t>%设计。小半径曲线段按运输最长车辆的通行要求，根据风电场场区内的地形条件以及大件设备运输要求，道路平曲线采取最小半径为30m，转弯处根据相应要求加宽处理。</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风电场新建施工道路</w:t>
            </w:r>
            <w:r>
              <w:rPr>
                <w:rFonts w:hint="eastAsia" w:eastAsia="仿宋" w:cs="Times New Roman"/>
                <w:color w:val="auto"/>
                <w:kern w:val="0"/>
                <w:sz w:val="24"/>
                <w:lang w:val="en-US" w:eastAsia="zh-CN"/>
              </w:rPr>
              <w:t>2.6</w:t>
            </w:r>
            <w:r>
              <w:rPr>
                <w:rFonts w:hint="eastAsia" w:eastAsia="仿宋" w:cs="Times New Roman"/>
                <w:color w:val="auto"/>
                <w:kern w:val="0"/>
                <w:sz w:val="24"/>
                <w:lang w:eastAsia="zh-CN"/>
              </w:rPr>
              <w:t>km，新建风场道路采用“永临结合”的原则，尽量采用现有硬化道路作为场内施工道路。由于路面为简易路面，易损坏，待施工完毕后，应对损坏的路面进行修补，施工结束后，作为风电场运维检修道路。</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标准路基宽5.5m，其路幅构成为：0.5m（土路肩）+4.5m（路面宽度）+0.5m（土路肩），挖方路基边坡视工程地质条件采用不同的开挖边坡，土方挖方边坡开挖坡比1:1~1:2，石质边坡开挖坡比1:0.3-1:1.25。</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路面类型：20cm厚泥结碎石；路基：分层填筑压实，压实系数不小于0.9</w:t>
            </w:r>
            <w:r>
              <w:rPr>
                <w:rFonts w:hint="eastAsia" w:eastAsia="仿宋" w:cs="Times New Roman"/>
                <w:color w:val="auto"/>
                <w:kern w:val="0"/>
                <w:sz w:val="24"/>
                <w:lang w:val="en-US" w:eastAsia="zh-CN"/>
              </w:rPr>
              <w:t>0</w:t>
            </w:r>
            <w:r>
              <w:rPr>
                <w:rFonts w:hint="eastAsia" w:eastAsia="仿宋" w:cs="Times New Roman"/>
                <w:color w:val="auto"/>
                <w:kern w:val="0"/>
                <w:sz w:val="24"/>
                <w:lang w:eastAsia="zh-CN"/>
              </w:rPr>
              <w:t>。</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②集电线路</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本风电场场内设集电线路共</w:t>
            </w:r>
            <w:r>
              <w:rPr>
                <w:rFonts w:hint="eastAsia" w:eastAsia="仿宋" w:cs="Times New Roman"/>
                <w:color w:val="auto"/>
                <w:kern w:val="0"/>
                <w:sz w:val="24"/>
                <w:lang w:val="en-US" w:eastAsia="zh-CN"/>
              </w:rPr>
              <w:t>2</w:t>
            </w:r>
            <w:r>
              <w:rPr>
                <w:rFonts w:hint="eastAsia" w:eastAsia="仿宋" w:cs="Times New Roman"/>
                <w:color w:val="auto"/>
                <w:kern w:val="0"/>
                <w:sz w:val="24"/>
                <w:lang w:eastAsia="zh-CN"/>
              </w:rPr>
              <w:t>回，</w:t>
            </w:r>
            <w:r>
              <w:rPr>
                <w:rFonts w:hint="eastAsia" w:eastAsia="仿宋" w:cs="Times New Roman"/>
                <w:color w:val="auto"/>
                <w:kern w:val="0"/>
                <w:sz w:val="24"/>
                <w:lang w:val="en-US" w:eastAsia="zh-CN"/>
              </w:rPr>
              <w:t>总长度25.349km</w:t>
            </w:r>
            <w:r>
              <w:rPr>
                <w:rFonts w:hint="eastAsia" w:eastAsia="仿宋" w:cs="Times New Roman"/>
                <w:color w:val="auto"/>
                <w:kern w:val="0"/>
                <w:sz w:val="24"/>
                <w:lang w:eastAsia="zh-CN"/>
              </w:rPr>
              <w:t>，每回集电线路并接</w:t>
            </w:r>
            <w:r>
              <w:rPr>
                <w:rFonts w:hint="eastAsia" w:eastAsia="仿宋" w:cs="Times New Roman"/>
                <w:color w:val="auto"/>
                <w:kern w:val="0"/>
                <w:sz w:val="24"/>
                <w:lang w:val="en-US" w:eastAsia="zh-CN"/>
              </w:rPr>
              <w:t>5</w:t>
            </w:r>
            <w:r>
              <w:rPr>
                <w:rFonts w:hint="eastAsia" w:eastAsia="仿宋" w:cs="Times New Roman"/>
                <w:color w:val="auto"/>
                <w:kern w:val="0"/>
                <w:sz w:val="24"/>
                <w:lang w:eastAsia="zh-CN"/>
              </w:rPr>
              <w:t>台风电机组的箱变。本工程风电场内的35kV集电线路</w:t>
            </w:r>
            <w:r>
              <w:rPr>
                <w:rFonts w:hint="eastAsia" w:eastAsia="仿宋" w:cs="Times New Roman"/>
                <w:color w:val="auto"/>
                <w:kern w:val="0"/>
                <w:sz w:val="24"/>
                <w:lang w:val="en-US" w:eastAsia="zh-CN"/>
              </w:rPr>
              <w:t>采用直埋电缆敷设</w:t>
            </w:r>
            <w:r>
              <w:rPr>
                <w:rFonts w:hint="eastAsia" w:eastAsia="仿宋" w:cs="Times New Roman"/>
                <w:color w:val="auto"/>
                <w:kern w:val="0"/>
                <w:sz w:val="24"/>
                <w:lang w:eastAsia="zh-CN"/>
              </w:rPr>
              <w:t>，导线选用ZC-YJLHY23-26/35-3×95mm</w:t>
            </w:r>
            <w:r>
              <w:rPr>
                <w:rFonts w:hint="eastAsia" w:eastAsia="仿宋" w:cs="Times New Roman"/>
                <w:color w:val="auto"/>
                <w:kern w:val="0"/>
                <w:sz w:val="24"/>
                <w:vertAlign w:val="superscript"/>
                <w:lang w:val="en-US" w:eastAsia="zh-CN"/>
              </w:rPr>
              <w:t>2</w:t>
            </w:r>
            <w:r>
              <w:rPr>
                <w:rFonts w:hint="eastAsia" w:eastAsia="仿宋" w:cs="Times New Roman"/>
                <w:color w:val="auto"/>
                <w:kern w:val="0"/>
                <w:sz w:val="24"/>
                <w:lang w:eastAsia="zh-CN"/>
              </w:rPr>
              <w:t>、ZC-YJLHY23-26/35-3×240mm</w:t>
            </w:r>
            <w:r>
              <w:rPr>
                <w:rFonts w:hint="eastAsia" w:eastAsia="仿宋" w:cs="Times New Roman"/>
                <w:color w:val="auto"/>
                <w:kern w:val="0"/>
                <w:sz w:val="24"/>
                <w:vertAlign w:val="superscript"/>
                <w:lang w:val="en-US" w:eastAsia="zh-CN"/>
              </w:rPr>
              <w:t>2</w:t>
            </w:r>
            <w:r>
              <w:rPr>
                <w:rFonts w:hint="eastAsia" w:eastAsia="仿宋" w:cs="Times New Roman"/>
                <w:color w:val="auto"/>
                <w:kern w:val="0"/>
                <w:sz w:val="24"/>
                <w:lang w:eastAsia="zh-CN"/>
              </w:rPr>
              <w:t>、ZC-YJY23-26/35-1×300mm</w:t>
            </w:r>
            <w:r>
              <w:rPr>
                <w:rFonts w:hint="eastAsia" w:eastAsia="仿宋" w:cs="Times New Roman"/>
                <w:color w:val="auto"/>
                <w:kern w:val="0"/>
                <w:sz w:val="24"/>
                <w:vertAlign w:val="superscript"/>
                <w:lang w:val="en-US" w:eastAsia="zh-CN"/>
              </w:rPr>
              <w:t>2</w:t>
            </w:r>
            <w:r>
              <w:rPr>
                <w:rFonts w:hint="eastAsia" w:eastAsia="仿宋" w:cs="Times New Roman"/>
                <w:color w:val="auto"/>
                <w:kern w:val="0"/>
                <w:sz w:val="24"/>
                <w:lang w:eastAsia="zh-CN"/>
              </w:rPr>
              <w:t>电力电缆。</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（4）公用工程</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给水：站内生活给水系统采用供水泵与气压罐联合供水方式。站内设置综合水泵房，内设有12m</w:t>
            </w:r>
            <w:r>
              <w:rPr>
                <w:rFonts w:hint="eastAsia" w:eastAsia="仿宋" w:cs="Times New Roman"/>
                <w:color w:val="auto"/>
                <w:kern w:val="0"/>
                <w:sz w:val="24"/>
                <w:vertAlign w:val="superscript"/>
                <w:lang w:eastAsia="zh-CN"/>
              </w:rPr>
              <w:t>3</w:t>
            </w:r>
            <w:r>
              <w:rPr>
                <w:rFonts w:hint="eastAsia" w:eastAsia="仿宋" w:cs="Times New Roman"/>
                <w:color w:val="auto"/>
                <w:kern w:val="0"/>
                <w:sz w:val="24"/>
                <w:lang w:eastAsia="zh-CN"/>
              </w:rPr>
              <w:t>生活水箱、气压供水装置。水车运水接入生活水箱后，经供水泵向气压罐补水，气压罐供水至各用水点，在气压罐出水管上设紫外线消毒器。气压罐具有一定调节容积，当气压罐内压力降至设定低压力时，自动启动供水泵，由水箱向气压罐补水；当气压罐内压力升至设定高压力时，自动停止供水泵，由气压罐向各用水点供水。</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排水：升压站排水系统采用雨污分流制。排水系统主要包括雨水、生活污水的排放。</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雨水：建筑物屋面雨水通过雨水沟收集，通过雨水立管引至建筑外围。站区场地雨水通过雨水沟收集，电缆沟的雨水通过排水暗管排至站区雨水沟，最终排出升压站外。</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污水：站内设置一套由化粪池、污水管道、调节池、一体化污水处理设备（处理量为1.0m</w:t>
            </w:r>
            <w:r>
              <w:rPr>
                <w:rFonts w:hint="eastAsia" w:eastAsia="仿宋" w:cs="Times New Roman"/>
                <w:color w:val="auto"/>
                <w:kern w:val="0"/>
                <w:sz w:val="24"/>
                <w:vertAlign w:val="superscript"/>
                <w:lang w:eastAsia="zh-CN"/>
              </w:rPr>
              <w:t>3</w:t>
            </w:r>
            <w:r>
              <w:rPr>
                <w:rFonts w:hint="eastAsia" w:eastAsia="仿宋" w:cs="Times New Roman"/>
                <w:color w:val="auto"/>
                <w:kern w:val="0"/>
                <w:sz w:val="24"/>
                <w:lang w:eastAsia="zh-CN"/>
              </w:rPr>
              <w:t>/h）组成的生活污水处理系统，站内各用水点的生活污水经化粪池沉淀后，上清液通过污水管道最终汇到生活污水调节池，经一体化污水处理设备处理达标后，可作为厂区绿化和道路喷洒用水，废水不外排。</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（5）环保工程</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生活污水：站内设置一套由化粪池、污水管道、调节池、一体化污水处理设备（处理量为1.0m</w:t>
            </w:r>
            <w:r>
              <w:rPr>
                <w:rFonts w:hint="eastAsia" w:eastAsia="仿宋" w:cs="Times New Roman"/>
                <w:color w:val="auto"/>
                <w:kern w:val="0"/>
                <w:sz w:val="24"/>
                <w:vertAlign w:val="superscript"/>
                <w:lang w:eastAsia="zh-CN"/>
              </w:rPr>
              <w:t>3</w:t>
            </w:r>
            <w:r>
              <w:rPr>
                <w:rFonts w:hint="eastAsia" w:eastAsia="仿宋" w:cs="Times New Roman"/>
                <w:color w:val="auto"/>
                <w:kern w:val="0"/>
                <w:sz w:val="24"/>
                <w:lang w:eastAsia="zh-CN"/>
              </w:rPr>
              <w:t>/h）组成的生活污水处理系统，站内各用水点的生活污水经化粪池沉淀后，上清液通过污水管道最终汇到生活污水调节池，经一体化污水处理设备处理达标后，可作为厂区绿化和道路喷洒用水，废水不外排。</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固体废物：风电场运行期运检人员产生的生活垃圾收集后定期清运；升压站运行期产生的废铅酸蓄电池、废变压器油在危废暂存间内暂存后交由有相应危险废物处置资质的单位进行处置。</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环境风险：升压站内设置1座具备油水分离功能的事故油池，有效容积能满足事故状态下变压器油100%不外排的需求（</w:t>
            </w:r>
            <w:r>
              <w:rPr>
                <w:rFonts w:hint="eastAsia" w:eastAsia="仿宋" w:cs="Times New Roman"/>
                <w:color w:val="auto"/>
                <w:kern w:val="0"/>
                <w:sz w:val="24"/>
                <w:lang w:val="en-US" w:eastAsia="zh-CN"/>
              </w:rPr>
              <w:t>变压器油量约为25t</w:t>
            </w:r>
            <w:r>
              <w:rPr>
                <w:rFonts w:hint="eastAsia" w:eastAsia="仿宋" w:cs="Times New Roman"/>
                <w:color w:val="auto"/>
                <w:kern w:val="0"/>
                <w:sz w:val="24"/>
                <w:lang w:eastAsia="zh-CN"/>
              </w:rPr>
              <w:t>）。</w:t>
            </w:r>
          </w:p>
          <w:p>
            <w:pPr>
              <w:adjustRightInd w:val="0"/>
              <w:snapToGrid w:val="0"/>
              <w:spacing w:line="360" w:lineRule="auto"/>
              <w:ind w:firstLine="480" w:firstLineChars="200"/>
              <w:rPr>
                <w:rFonts w:hint="eastAsia" w:eastAsia="仿宋" w:cs="Times New Roman"/>
                <w:color w:val="auto"/>
                <w:kern w:val="0"/>
                <w:sz w:val="24"/>
                <w:lang w:eastAsia="zh-CN"/>
              </w:rPr>
            </w:pPr>
            <w:r>
              <w:rPr>
                <w:rFonts w:hint="eastAsia" w:eastAsia="仿宋" w:cs="Times New Roman"/>
                <w:color w:val="auto"/>
                <w:kern w:val="0"/>
                <w:sz w:val="24"/>
                <w:lang w:eastAsia="zh-CN"/>
              </w:rPr>
              <w:t>（</w:t>
            </w:r>
            <w:r>
              <w:rPr>
                <w:rFonts w:hint="eastAsia" w:eastAsia="仿宋" w:cs="Times New Roman"/>
                <w:color w:val="auto"/>
                <w:kern w:val="0"/>
                <w:sz w:val="24"/>
                <w:lang w:val="en-US" w:eastAsia="zh-CN"/>
              </w:rPr>
              <w:t>6</w:t>
            </w:r>
            <w:r>
              <w:rPr>
                <w:rFonts w:hint="eastAsia" w:eastAsia="仿宋" w:cs="Times New Roman"/>
                <w:color w:val="auto"/>
                <w:kern w:val="0"/>
                <w:sz w:val="24"/>
                <w:lang w:eastAsia="zh-CN"/>
              </w:rPr>
              <w:t>）劳动定员与工作制度</w:t>
            </w:r>
          </w:p>
          <w:p>
            <w:pPr>
              <w:adjustRightInd w:val="0"/>
              <w:snapToGrid w:val="0"/>
              <w:spacing w:line="360" w:lineRule="auto"/>
              <w:ind w:firstLine="480" w:firstLineChars="200"/>
              <w:rPr>
                <w:rFonts w:hint="default"/>
                <w:color w:val="auto"/>
                <w:spacing w:val="-1"/>
                <w:sz w:val="24"/>
                <w:szCs w:val="24"/>
              </w:rPr>
            </w:pPr>
            <w:r>
              <w:rPr>
                <w:rFonts w:hint="eastAsia" w:eastAsia="仿宋" w:cs="Times New Roman"/>
                <w:color w:val="auto"/>
                <w:kern w:val="0"/>
                <w:sz w:val="24"/>
                <w:lang w:eastAsia="zh-CN"/>
              </w:rPr>
              <w:t>本风电场定员标准为</w:t>
            </w:r>
            <w:r>
              <w:rPr>
                <w:rFonts w:hint="eastAsia" w:eastAsia="仿宋" w:cs="Times New Roman"/>
                <w:color w:val="auto"/>
                <w:kern w:val="0"/>
                <w:sz w:val="24"/>
                <w:lang w:val="en-US" w:eastAsia="zh-CN"/>
              </w:rPr>
              <w:t>6</w:t>
            </w:r>
            <w:r>
              <w:rPr>
                <w:rFonts w:hint="eastAsia" w:eastAsia="仿宋" w:cs="Times New Roman"/>
                <w:color w:val="auto"/>
                <w:kern w:val="0"/>
                <w:sz w:val="24"/>
                <w:lang w:eastAsia="zh-CN"/>
              </w:rPr>
              <w:t>人，主要负责各风电机组的巡视、日常维护及值班。风电场大修工作外委专业公司负责。</w:t>
            </w:r>
          </w:p>
          <w:p>
            <w:pPr>
              <w:pStyle w:val="29"/>
              <w:spacing w:line="360" w:lineRule="auto"/>
              <w:rPr>
                <w:rFonts w:hint="default" w:ascii="Times New Roman" w:hAnsi="Times New Roman" w:eastAsia="仿宋" w:cs="Times New Roman"/>
                <w:color w:val="auto"/>
              </w:rPr>
            </w:pPr>
            <w:r>
              <w:rPr>
                <w:rFonts w:hint="eastAsia" w:ascii="Times New Roman" w:eastAsia="仿宋" w:cs="Times New Roman"/>
                <w:color w:val="auto"/>
                <w:lang w:eastAsia="zh-CN"/>
              </w:rPr>
              <w:t>（</w:t>
            </w:r>
            <w:r>
              <w:rPr>
                <w:rFonts w:hint="eastAsia" w:ascii="Times New Roman" w:eastAsia="仿宋" w:cs="Times New Roman"/>
                <w:color w:val="auto"/>
                <w:lang w:val="en-US" w:eastAsia="zh-CN"/>
              </w:rPr>
              <w:t>7</w:t>
            </w:r>
            <w:r>
              <w:rPr>
                <w:rFonts w:hint="eastAsia" w:ascii="Times New Roman" w:eastAsia="仿宋" w:cs="Times New Roman"/>
                <w:color w:val="auto"/>
                <w:lang w:eastAsia="zh-CN"/>
              </w:rPr>
              <w:t>）</w:t>
            </w:r>
            <w:r>
              <w:rPr>
                <w:rFonts w:hint="default" w:ascii="Times New Roman" w:hAnsi="Times New Roman" w:eastAsia="仿宋" w:cs="Times New Roman"/>
                <w:color w:val="auto"/>
              </w:rPr>
              <w:t>临时堆土场</w:t>
            </w:r>
          </w:p>
          <w:p>
            <w:pPr>
              <w:pStyle w:val="29"/>
              <w:spacing w:line="360" w:lineRule="auto"/>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每个风机区设置2个临时堆土场，堆高2m，分别堆放基础开挖的临时堆土和剥离的表土；道路区、升压站区、</w:t>
            </w:r>
            <w:r>
              <w:rPr>
                <w:rFonts w:hint="eastAsia" w:ascii="Times New Roman" w:eastAsia="仿宋" w:cs="Times New Roman"/>
                <w:color w:val="auto"/>
                <w:lang w:eastAsia="zh-CN"/>
              </w:rPr>
              <w:t>施工生产生活区</w:t>
            </w:r>
            <w:r>
              <w:rPr>
                <w:rFonts w:hint="default" w:ascii="Times New Roman" w:hAnsi="Times New Roman" w:eastAsia="仿宋" w:cs="Times New Roman"/>
                <w:color w:val="auto"/>
              </w:rPr>
              <w:t>根据实际情况设置临时堆土场，堆高1m。风机区堆土场设置在吊装平台范围内；其他临时堆土场均设置在施工场地现有占地范围内，集中堆放。临时堆土采用填土草袋进行拦挡防护，采用塑料彩条布进行表面苫盖。基础开挖临时堆土回填利用，表土剥离堆土用于各区施工临时占地后期的表层覆土和植被恢复</w:t>
            </w:r>
            <w:r>
              <w:rPr>
                <w:rFonts w:hint="default" w:ascii="Times New Roman" w:hAnsi="Times New Roman" w:eastAsia="仿宋" w:cs="Times New Roman"/>
                <w:color w:val="auto"/>
                <w:lang w:eastAsia="zh-CN"/>
              </w:rPr>
              <w:t>。</w:t>
            </w:r>
          </w:p>
          <w:p>
            <w:pPr>
              <w:pStyle w:val="29"/>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总平面及现场布置</w:t>
            </w:r>
          </w:p>
        </w:tc>
        <w:tc>
          <w:tcPr>
            <w:tcW w:w="8526" w:type="dxa"/>
            <w:vAlign w:val="center"/>
          </w:tcPr>
          <w:p>
            <w:pPr>
              <w:adjustRightInd w:val="0"/>
              <w:snapToGrid w:val="0"/>
              <w:spacing w:line="360" w:lineRule="auto"/>
              <w:rPr>
                <w:rFonts w:hint="default" w:ascii="Times New Roman" w:hAnsi="Times New Roman" w:eastAsia="仿宋" w:cs="Times New Roman"/>
                <w:b/>
                <w:color w:val="auto"/>
                <w:kern w:val="0"/>
                <w:sz w:val="24"/>
              </w:rPr>
            </w:pPr>
            <w:r>
              <w:rPr>
                <w:rFonts w:hint="default" w:ascii="Times New Roman" w:hAnsi="Times New Roman" w:eastAsia="仿宋" w:cs="Times New Roman"/>
                <w:b/>
                <w:color w:val="auto"/>
                <w:kern w:val="0"/>
                <w:sz w:val="24"/>
              </w:rPr>
              <w:t>1、风电场总平面布置</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风力发电机的布置，应充分考虑场址内盛行风向、风况条件，在同等的风况条件下，应先考虑那些地形地质条件优越且便于运输安装的场地进行布置。风电场工程经优化后最终的风机布置见附图2。风机机位坐标详见表2-</w:t>
            </w:r>
            <w:r>
              <w:rPr>
                <w:rFonts w:hint="eastAsia" w:eastAsia="仿宋" w:cs="Times New Roman"/>
                <w:color w:val="auto"/>
                <w:kern w:val="0"/>
                <w:sz w:val="24"/>
                <w:lang w:val="en-US" w:eastAsia="zh-CN"/>
              </w:rPr>
              <w:t>4</w:t>
            </w:r>
            <w:r>
              <w:rPr>
                <w:rFonts w:hint="default" w:ascii="Times New Roman" w:hAnsi="Times New Roman" w:eastAsia="仿宋" w:cs="Times New Roman"/>
                <w:color w:val="auto"/>
                <w:kern w:val="0"/>
                <w:sz w:val="24"/>
              </w:rPr>
              <w:t>。</w:t>
            </w:r>
          </w:p>
          <w:p>
            <w:pPr>
              <w:adjustRightInd w:val="0"/>
              <w:snapToGrid w:val="0"/>
              <w:spacing w:line="360" w:lineRule="auto"/>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
                <w:color w:val="auto"/>
                <w:kern w:val="0"/>
                <w:szCs w:val="21"/>
              </w:rPr>
              <w:t>表2-</w:t>
            </w:r>
            <w:r>
              <w:rPr>
                <w:rFonts w:hint="eastAsia" w:eastAsia="仿宋" w:cs="Times New Roman"/>
                <w:b/>
                <w:color w:val="auto"/>
                <w:kern w:val="0"/>
                <w:szCs w:val="21"/>
                <w:lang w:val="en-US" w:eastAsia="zh-CN"/>
              </w:rPr>
              <w:t>4</w:t>
            </w:r>
            <w:r>
              <w:rPr>
                <w:rFonts w:hint="default" w:ascii="Times New Roman" w:hAnsi="Times New Roman" w:eastAsia="仿宋" w:cs="Times New Roman"/>
                <w:color w:val="auto"/>
                <w:kern w:val="0"/>
                <w:szCs w:val="21"/>
              </w:rPr>
              <w:t xml:space="preserve">  </w:t>
            </w:r>
            <w:r>
              <w:rPr>
                <w:rFonts w:hint="default" w:ascii="Times New Roman" w:hAnsi="Times New Roman" w:eastAsia="仿宋" w:cs="Times New Roman"/>
                <w:b/>
                <w:color w:val="auto"/>
                <w:szCs w:val="21"/>
              </w:rPr>
              <w:t>本工程风力发电机组机位坐标一览表</w:t>
            </w:r>
          </w:p>
          <w:tbl>
            <w:tblPr>
              <w:tblStyle w:val="21"/>
              <w:tblW w:w="4998" w:type="pct"/>
              <w:jc w:val="center"/>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autofit"/>
              <w:tblCellMar>
                <w:top w:w="0" w:type="dxa"/>
                <w:left w:w="108" w:type="dxa"/>
                <w:bottom w:w="0" w:type="dxa"/>
                <w:right w:w="108" w:type="dxa"/>
              </w:tblCellMar>
            </w:tblPr>
            <w:tblGrid>
              <w:gridCol w:w="1638"/>
              <w:gridCol w:w="2684"/>
              <w:gridCol w:w="1992"/>
              <w:gridCol w:w="1993"/>
            </w:tblGrid>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12" w:space="0"/>
                    <w:bottom w:val="single" w:color="auto" w:sz="4" w:space="0"/>
                    <w:right w:val="single" w:color="auto" w:sz="4" w:space="0"/>
                  </w:tcBorders>
                  <w:noWrap/>
                  <w:vAlign w:val="center"/>
                </w:tcPr>
                <w:p>
                  <w:pPr>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点位名称</w:t>
                  </w:r>
                </w:p>
              </w:tc>
              <w:tc>
                <w:tcPr>
                  <w:tcW w:w="1291" w:type="pct"/>
                  <w:tcBorders>
                    <w:top w:val="single" w:color="auto" w:sz="12"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经度</w:t>
                  </w:r>
                </w:p>
              </w:tc>
              <w:tc>
                <w:tcPr>
                  <w:tcW w:w="1307" w:type="pc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纬度</w:t>
                  </w:r>
                </w:p>
              </w:tc>
              <w:tc>
                <w:tcPr>
                  <w:tcW w:w="1307" w:type="pct"/>
                  <w:tcBorders>
                    <w:top w:val="single" w:color="auto" w:sz="12" w:space="0"/>
                    <w:left w:val="single" w:color="auto" w:sz="4" w:space="0"/>
                    <w:bottom w:val="single" w:color="auto" w:sz="4" w:space="0"/>
                  </w:tcBorders>
                  <w:vAlign w:val="center"/>
                </w:tcPr>
                <w:p>
                  <w:pPr>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备注</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D01</w:t>
                  </w:r>
                </w:p>
              </w:tc>
              <w:tc>
                <w:tcPr>
                  <w:tcW w:w="129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107.01612845</w:t>
                  </w:r>
                </w:p>
              </w:tc>
              <w:tc>
                <w:tcPr>
                  <w:tcW w:w="130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32.11757025</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val="en-US" w:eastAsia="zh-CN"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D02</w:t>
                  </w:r>
                </w:p>
              </w:tc>
              <w:tc>
                <w:tcPr>
                  <w:tcW w:w="129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107.01340899</w:t>
                  </w:r>
                </w:p>
              </w:tc>
              <w:tc>
                <w:tcPr>
                  <w:tcW w:w="130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32.11438128</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D03</w:t>
                  </w:r>
                </w:p>
              </w:tc>
              <w:tc>
                <w:tcPr>
                  <w:tcW w:w="129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107.00471485</w:t>
                  </w:r>
                </w:p>
              </w:tc>
              <w:tc>
                <w:tcPr>
                  <w:tcW w:w="130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32.11314903</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D04</w:t>
                  </w:r>
                </w:p>
              </w:tc>
              <w:tc>
                <w:tcPr>
                  <w:tcW w:w="1291"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107.00270216</w:t>
                  </w:r>
                </w:p>
              </w:tc>
              <w:tc>
                <w:tcPr>
                  <w:tcW w:w="130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32.10702045</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D05</w:t>
                  </w:r>
                </w:p>
              </w:tc>
              <w:tc>
                <w:tcPr>
                  <w:tcW w:w="268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106.9813866</w:t>
                  </w:r>
                </w:p>
              </w:tc>
              <w:tc>
                <w:tcPr>
                  <w:tcW w:w="199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32.10415915</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D06</w:t>
                  </w:r>
                </w:p>
              </w:tc>
              <w:tc>
                <w:tcPr>
                  <w:tcW w:w="268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106.9738446</w:t>
                  </w:r>
                </w:p>
              </w:tc>
              <w:tc>
                <w:tcPr>
                  <w:tcW w:w="199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32.09630262</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D07</w:t>
                  </w:r>
                </w:p>
              </w:tc>
              <w:tc>
                <w:tcPr>
                  <w:tcW w:w="268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106.9671258</w:t>
                  </w:r>
                </w:p>
              </w:tc>
              <w:tc>
                <w:tcPr>
                  <w:tcW w:w="199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32.09520744</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kern w:val="0"/>
                      <w:sz w:val="21"/>
                      <w:szCs w:val="21"/>
                      <w:lang w:val="en-US" w:bidi="ar"/>
                    </w:rPr>
                  </w:pPr>
                  <w:r>
                    <w:rPr>
                      <w:rFonts w:hint="default" w:ascii="Times New Roman" w:hAnsi="Times New Roman" w:cs="Times New Roman"/>
                      <w:color w:val="auto"/>
                      <w:kern w:val="0"/>
                      <w:sz w:val="21"/>
                      <w:szCs w:val="21"/>
                      <w:lang w:val="en-US" w:eastAsia="zh-CN" w:bidi="ar"/>
                    </w:rPr>
                    <w:t>D08</w:t>
                  </w:r>
                </w:p>
              </w:tc>
              <w:tc>
                <w:tcPr>
                  <w:tcW w:w="268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106.9596815</w:t>
                  </w:r>
                </w:p>
              </w:tc>
              <w:tc>
                <w:tcPr>
                  <w:tcW w:w="199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32.09073941</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kern w:val="0"/>
                      <w:sz w:val="21"/>
                      <w:szCs w:val="21"/>
                      <w:lang w:val="en-US" w:bidi="ar"/>
                    </w:rPr>
                  </w:pPr>
                  <w:r>
                    <w:rPr>
                      <w:rFonts w:hint="default" w:ascii="Times New Roman" w:hAnsi="Times New Roman" w:cs="Times New Roman"/>
                      <w:color w:val="auto"/>
                      <w:kern w:val="0"/>
                      <w:sz w:val="21"/>
                      <w:szCs w:val="21"/>
                      <w:lang w:val="en-US" w:eastAsia="zh-CN" w:bidi="ar"/>
                    </w:rPr>
                    <w:t>D09</w:t>
                  </w:r>
                </w:p>
              </w:tc>
              <w:tc>
                <w:tcPr>
                  <w:tcW w:w="268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106.9546164</w:t>
                  </w:r>
                </w:p>
              </w:tc>
              <w:tc>
                <w:tcPr>
                  <w:tcW w:w="199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32.08354465</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kern w:val="0"/>
                      <w:sz w:val="21"/>
                      <w:szCs w:val="21"/>
                      <w:lang w:val="en-US" w:bidi="ar"/>
                    </w:rPr>
                  </w:pPr>
                  <w:r>
                    <w:rPr>
                      <w:rFonts w:hint="default" w:ascii="Times New Roman" w:hAnsi="Times New Roman" w:cs="Times New Roman"/>
                      <w:color w:val="auto"/>
                      <w:kern w:val="0"/>
                      <w:sz w:val="21"/>
                      <w:szCs w:val="21"/>
                      <w:lang w:val="en-US" w:eastAsia="zh-CN" w:bidi="ar"/>
                    </w:rPr>
                    <w:t>D10</w:t>
                  </w:r>
                </w:p>
              </w:tc>
              <w:tc>
                <w:tcPr>
                  <w:tcW w:w="268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106.9410653</w:t>
                  </w:r>
                </w:p>
              </w:tc>
              <w:tc>
                <w:tcPr>
                  <w:tcW w:w="199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32.07994376</w:t>
                  </w:r>
                </w:p>
              </w:tc>
              <w:tc>
                <w:tcPr>
                  <w:tcW w:w="1307" w:type="pct"/>
                  <w:tcBorders>
                    <w:top w:val="single" w:color="auto" w:sz="4" w:space="0"/>
                    <w:left w:val="single" w:color="auto" w:sz="4" w:space="0"/>
                    <w:bottom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val="en-US" w:eastAsia="zh-CN" w:bidi="ar"/>
                    </w:rPr>
                    <w:t>备选</w:t>
                  </w:r>
                  <w:bookmarkStart w:id="22" w:name="_GoBack"/>
                  <w:bookmarkEnd w:id="22"/>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094" w:type="pct"/>
                  <w:tcBorders>
                    <w:top w:val="single" w:color="auto" w:sz="4" w:space="0"/>
                    <w:right w:val="single" w:color="auto" w:sz="4" w:space="0"/>
                  </w:tcBorders>
                  <w:noWrap/>
                  <w:vAlign w:val="center"/>
                </w:tcPr>
                <w:p>
                  <w:pPr>
                    <w:widowControl/>
                    <w:jc w:val="center"/>
                    <w:rPr>
                      <w:rFonts w:hint="default" w:ascii="Times New Roman" w:hAnsi="Times New Roman" w:cs="Times New Roman"/>
                      <w:color w:val="auto"/>
                      <w:kern w:val="0"/>
                      <w:sz w:val="21"/>
                      <w:szCs w:val="21"/>
                      <w:lang w:val="en-US" w:bidi="ar"/>
                    </w:rPr>
                  </w:pPr>
                  <w:r>
                    <w:rPr>
                      <w:rFonts w:hint="default" w:ascii="Times New Roman" w:hAnsi="Times New Roman" w:eastAsia="仿宋" w:cs="Times New Roman"/>
                      <w:color w:val="auto"/>
                      <w:kern w:val="0"/>
                      <w:sz w:val="21"/>
                      <w:szCs w:val="21"/>
                      <w:lang w:val="en-US" w:eastAsia="zh-CN" w:bidi="ar"/>
                    </w:rPr>
                    <w:t>D11</w:t>
                  </w:r>
                </w:p>
              </w:tc>
              <w:tc>
                <w:tcPr>
                  <w:tcW w:w="2684" w:type="dxa"/>
                  <w:tcBorders>
                    <w:top w:val="single" w:color="auto" w:sz="4" w:space="0"/>
                    <w:left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107.0139445</w:t>
                  </w:r>
                </w:p>
              </w:tc>
              <w:tc>
                <w:tcPr>
                  <w:tcW w:w="1992" w:type="dxa"/>
                  <w:tcBorders>
                    <w:top w:val="single" w:color="auto" w:sz="4" w:space="0"/>
                    <w:left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32.12525598</w:t>
                  </w:r>
                </w:p>
              </w:tc>
              <w:tc>
                <w:tcPr>
                  <w:tcW w:w="1307" w:type="pct"/>
                  <w:tcBorders>
                    <w:top w:val="single" w:color="auto" w:sz="4" w:space="0"/>
                    <w:left w:val="single" w:color="auto" w:sz="4" w:space="0"/>
                  </w:tcBorders>
                  <w:noWrap/>
                  <w:vAlign w:val="center"/>
                </w:tcPr>
                <w:p>
                  <w:pPr>
                    <w:widowControl/>
                    <w:jc w:val="center"/>
                    <w:rPr>
                      <w:rFonts w:hint="default" w:ascii="Times New Roman" w:hAnsi="Times New Roman" w:eastAsia="仿宋" w:cs="Times New Roman"/>
                      <w:color w:val="auto"/>
                      <w:kern w:val="0"/>
                      <w:sz w:val="21"/>
                      <w:szCs w:val="21"/>
                      <w:lang w:val="en-US" w:eastAsia="zh-CN" w:bidi="ar"/>
                    </w:rPr>
                  </w:pPr>
                </w:p>
              </w:tc>
            </w:tr>
          </w:tbl>
          <w:p>
            <w:pPr>
              <w:adjustRightInd w:val="0"/>
              <w:snapToGrid w:val="0"/>
              <w:spacing w:line="360" w:lineRule="auto"/>
              <w:ind w:firstLine="480" w:firstLineChars="200"/>
              <w:rPr>
                <w:rFonts w:hint="eastAsia" w:eastAsia="仿宋" w:cs="Times New Roman"/>
                <w:color w:val="auto"/>
                <w:sz w:val="24"/>
                <w:szCs w:val="24"/>
                <w:lang w:val="en-US" w:eastAsia="zh-CN"/>
              </w:rPr>
            </w:pPr>
            <w:r>
              <w:rPr>
                <w:rFonts w:hint="eastAsia" w:eastAsia="仿宋" w:cs="Times New Roman"/>
                <w:color w:val="auto"/>
                <w:sz w:val="24"/>
                <w:szCs w:val="24"/>
                <w:lang w:val="en-US" w:eastAsia="zh-CN"/>
              </w:rPr>
              <w:t>风电场平面布置见图2-3。</w:t>
            </w:r>
          </w:p>
          <w:p>
            <w:pPr>
              <w:adjustRightInd w:val="0"/>
              <w:snapToGrid w:val="0"/>
              <w:spacing w:line="360" w:lineRule="auto"/>
              <w:ind w:firstLine="480" w:firstLineChars="200"/>
              <w:rPr>
                <w:rFonts w:hint="eastAsia" w:eastAsia="仿宋" w:cs="Times New Roman"/>
                <w:color w:val="auto"/>
                <w:sz w:val="24"/>
                <w:szCs w:val="24"/>
                <w:lang w:val="en-US" w:eastAsia="zh-CN"/>
              </w:rPr>
            </w:pPr>
          </w:p>
          <w:p>
            <w:pPr>
              <w:adjustRightInd w:val="0"/>
              <w:snapToGrid w:val="0"/>
              <w:spacing w:line="360" w:lineRule="auto"/>
              <w:ind w:firstLine="480" w:firstLineChars="200"/>
              <w:rPr>
                <w:rFonts w:hint="eastAsia" w:eastAsia="仿宋" w:cs="Times New Roman"/>
                <w:color w:val="auto"/>
                <w:sz w:val="24"/>
                <w:szCs w:val="24"/>
                <w:lang w:val="en-US" w:eastAsia="zh-CN"/>
              </w:rPr>
            </w:pPr>
          </w:p>
          <w:p>
            <w:pPr>
              <w:adjustRightInd w:val="0"/>
              <w:snapToGrid w:val="0"/>
              <w:spacing w:line="360" w:lineRule="auto"/>
              <w:ind w:firstLine="480" w:firstLineChars="200"/>
              <w:rPr>
                <w:rFonts w:hint="eastAsia" w:eastAsia="仿宋" w:cs="Times New Roman"/>
                <w:color w:val="auto"/>
                <w:sz w:val="24"/>
                <w:szCs w:val="24"/>
                <w:lang w:val="en-US" w:eastAsia="zh-CN"/>
              </w:rPr>
            </w:pPr>
          </w:p>
          <w:p>
            <w:pPr>
              <w:adjustRightInd w:val="0"/>
              <w:snapToGrid w:val="0"/>
              <w:spacing w:line="360" w:lineRule="auto"/>
              <w:ind w:firstLine="480" w:firstLineChars="200"/>
              <w:rPr>
                <w:rFonts w:hint="eastAsia" w:eastAsia="仿宋" w:cs="Times New Roman"/>
                <w:color w:val="auto"/>
                <w:sz w:val="24"/>
                <w:szCs w:val="24"/>
                <w:lang w:val="en-US" w:eastAsia="zh-CN"/>
              </w:rPr>
            </w:pPr>
          </w:p>
          <w:p>
            <w:pPr>
              <w:adjustRightInd w:val="0"/>
              <w:snapToGrid w:val="0"/>
              <w:spacing w:line="360" w:lineRule="auto"/>
              <w:ind w:firstLine="480" w:firstLineChars="200"/>
              <w:rPr>
                <w:rFonts w:hint="eastAsia" w:eastAsia="仿宋" w:cs="Times New Roman"/>
                <w:color w:val="auto"/>
                <w:sz w:val="24"/>
                <w:szCs w:val="24"/>
                <w:lang w:val="en-US" w:eastAsia="zh-CN"/>
              </w:rPr>
            </w:pPr>
          </w:p>
          <w:p>
            <w:pPr>
              <w:adjustRightInd w:val="0"/>
              <w:snapToGrid w:val="0"/>
              <w:spacing w:line="360" w:lineRule="auto"/>
              <w:ind w:firstLine="480" w:firstLineChars="200"/>
              <w:rPr>
                <w:rFonts w:hint="eastAsia" w:eastAsia="仿宋" w:cs="Times New Roman"/>
                <w:color w:val="auto"/>
                <w:sz w:val="24"/>
                <w:szCs w:val="24"/>
                <w:lang w:val="en-US" w:eastAsia="zh-CN"/>
              </w:rPr>
            </w:pPr>
          </w:p>
          <w:p>
            <w:pPr>
              <w:adjustRightInd w:val="0"/>
              <w:snapToGrid w:val="0"/>
              <w:spacing w:line="360" w:lineRule="auto"/>
              <w:ind w:firstLine="480" w:firstLineChars="200"/>
              <w:rPr>
                <w:rFonts w:hint="eastAsia" w:eastAsia="仿宋" w:cs="Times New Roman"/>
                <w:color w:val="auto"/>
                <w:sz w:val="24"/>
                <w:szCs w:val="24"/>
                <w:lang w:val="en-US" w:eastAsia="zh-CN"/>
              </w:rPr>
            </w:pPr>
          </w:p>
          <w:p>
            <w:pPr>
              <w:adjustRightInd w:val="0"/>
              <w:snapToGrid w:val="0"/>
              <w:spacing w:line="360" w:lineRule="auto"/>
              <w:jc w:val="center"/>
              <w:rPr>
                <w:rFonts w:hint="eastAsia" w:ascii="Times New Roman" w:hAnsi="Times New Roman" w:eastAsia="仿宋" w:cs="Times New Roman"/>
                <w:color w:val="auto"/>
                <w:szCs w:val="21"/>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3781425</wp:posOffset>
                      </wp:positionH>
                      <wp:positionV relativeFrom="paragraph">
                        <wp:posOffset>2804160</wp:posOffset>
                      </wp:positionV>
                      <wp:extent cx="1107440" cy="321945"/>
                      <wp:effectExtent l="4445" t="4445" r="12065" b="16510"/>
                      <wp:wrapNone/>
                      <wp:docPr id="33" name="文本框 33"/>
                      <wp:cNvGraphicFramePr/>
                      <a:graphic xmlns:a="http://schemas.openxmlformats.org/drawingml/2006/main">
                        <a:graphicData uri="http://schemas.microsoft.com/office/word/2010/wordprocessingShape">
                          <wps:wsp>
                            <wps:cNvSpPr txBox="1"/>
                            <wps:spPr>
                              <a:xfrm>
                                <a:off x="5073650" y="3616325"/>
                                <a:ext cx="1107440"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lang w:val="en-US"/>
                                    </w:rPr>
                                  </w:pPr>
                                  <w:r>
                                    <w:rPr>
                                      <w:rFonts w:hint="eastAsia" w:ascii="Times New Roman" w:hAnsi="Times New Roman" w:eastAsia="仿宋" w:cs="Times New Roman"/>
                                      <w:color w:val="auto"/>
                                      <w:szCs w:val="21"/>
                                      <w:lang w:eastAsia="zh-CN"/>
                                    </w:rPr>
                                    <w:drawing>
                                      <wp:inline distT="0" distB="0" distL="114300" distR="114300">
                                        <wp:extent cx="181610" cy="175895"/>
                                        <wp:effectExtent l="0" t="0" r="8890" b="14605"/>
                                        <wp:docPr id="32" name="图片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
                                                <pic:cNvPicPr>
                                                  <a:picLocks noChangeAspect="1"/>
                                                </pic:cNvPicPr>
                                              </pic:nvPicPr>
                                              <pic:blipFill>
                                                <a:blip r:embed="rId15"/>
                                                <a:stretch>
                                                  <a:fillRect/>
                                                </a:stretch>
                                              </pic:blipFill>
                                              <pic:spPr>
                                                <a:xfrm>
                                                  <a:off x="0" y="0"/>
                                                  <a:ext cx="181610" cy="175895"/>
                                                </a:xfrm>
                                                <a:prstGeom prst="rect">
                                                  <a:avLst/>
                                                </a:prstGeom>
                                              </pic:spPr>
                                            </pic:pic>
                                          </a:graphicData>
                                        </a:graphic>
                                      </wp:inline>
                                    </w:drawing>
                                  </w:r>
                                  <w:r>
                                    <w:rPr>
                                      <w:rFonts w:hint="eastAsia" w:eastAsia="仿宋" w:cs="Times New Roman"/>
                                      <w:color w:val="auto"/>
                                      <w:szCs w:val="21"/>
                                      <w:lang w:eastAsia="zh-CN"/>
                                    </w:rPr>
                                    <w:t>—</w:t>
                                  </w:r>
                                  <w:r>
                                    <w:rPr>
                                      <w:rFonts w:hint="eastAsia" w:eastAsia="仿宋" w:cs="Times New Roman"/>
                                      <w:color w:val="auto"/>
                                      <w:szCs w:val="21"/>
                                      <w:lang w:val="en-US" w:eastAsia="zh-CN"/>
                                    </w:rPr>
                                    <w:t>风机点位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220.8pt;height:25.35pt;width:87.2pt;z-index:251667456;mso-width-relative:page;mso-height-relative:page;" fillcolor="#FFFFFF [3201]" filled="t" stroked="t" coordsize="21600,21600" o:gfxdata="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dqVUP2AAAAAsBAAAPAAAAAAAAAAEAIAAAACIAAABkcnMvZG93bnJldi54bWxQSwECFAAU&#10;AAAACACHTuJAVFRK+2MCAADFBAAADgAAAAAAAAABACAAAAAnAQAAZHJzL2Uyb0RvYy54bWxQSwUG&#10;AAAAAAYABgBZAQAA/AUAAAAA&#10;">
                      <v:fill on="t" focussize="0,0"/>
                      <v:stroke weight="0.5pt" color="#000000 [3204]" joinstyle="round"/>
                      <v:imagedata o:title=""/>
                      <o:lock v:ext="edit" aspectratio="f"/>
                      <v:textbox>
                        <w:txbxContent>
                          <w:p>
                            <w:pPr>
                              <w:spacing w:line="240" w:lineRule="auto"/>
                              <w:rPr>
                                <w:rFonts w:hint="default"/>
                                <w:lang w:val="en-US"/>
                              </w:rPr>
                            </w:pPr>
                            <w:r>
                              <w:rPr>
                                <w:rFonts w:hint="eastAsia" w:ascii="Times New Roman" w:hAnsi="Times New Roman" w:eastAsia="仿宋" w:cs="Times New Roman"/>
                                <w:color w:val="auto"/>
                                <w:szCs w:val="21"/>
                                <w:lang w:eastAsia="zh-CN"/>
                              </w:rPr>
                              <w:drawing>
                                <wp:inline distT="0" distB="0" distL="114300" distR="114300">
                                  <wp:extent cx="181610" cy="175895"/>
                                  <wp:effectExtent l="0" t="0" r="8890" b="14605"/>
                                  <wp:docPr id="32" name="图片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
                                          <pic:cNvPicPr>
                                            <a:picLocks noChangeAspect="1"/>
                                          </pic:cNvPicPr>
                                        </pic:nvPicPr>
                                        <pic:blipFill>
                                          <a:blip r:embed="rId15"/>
                                          <a:stretch>
                                            <a:fillRect/>
                                          </a:stretch>
                                        </pic:blipFill>
                                        <pic:spPr>
                                          <a:xfrm>
                                            <a:off x="0" y="0"/>
                                            <a:ext cx="181610" cy="175895"/>
                                          </a:xfrm>
                                          <a:prstGeom prst="rect">
                                            <a:avLst/>
                                          </a:prstGeom>
                                        </pic:spPr>
                                      </pic:pic>
                                    </a:graphicData>
                                  </a:graphic>
                                </wp:inline>
                              </w:drawing>
                            </w:r>
                            <w:r>
                              <w:rPr>
                                <w:rFonts w:hint="eastAsia" w:eastAsia="仿宋" w:cs="Times New Roman"/>
                                <w:color w:val="auto"/>
                                <w:szCs w:val="21"/>
                                <w:lang w:eastAsia="zh-CN"/>
                              </w:rPr>
                              <w:t>—</w:t>
                            </w:r>
                            <w:r>
                              <w:rPr>
                                <w:rFonts w:hint="eastAsia" w:eastAsia="仿宋" w:cs="Times New Roman"/>
                                <w:color w:val="auto"/>
                                <w:szCs w:val="21"/>
                                <w:lang w:val="en-US" w:eastAsia="zh-CN"/>
                              </w:rPr>
                              <w:t>风机点位</w:t>
                            </w:r>
                          </w:p>
                        </w:txbxContent>
                      </v:textbox>
                    </v:shape>
                  </w:pict>
                </mc:Fallback>
              </mc:AlternateContent>
            </w:r>
            <w:r>
              <w:rPr>
                <w:rFonts w:hint="eastAsia" w:ascii="Times New Roman" w:hAnsi="Times New Roman" w:eastAsia="仿宋" w:cs="Times New Roman"/>
                <w:color w:val="auto"/>
                <w:szCs w:val="21"/>
                <w:lang w:eastAsia="zh-CN"/>
              </w:rPr>
              <w:drawing>
                <wp:anchor distT="0" distB="0" distL="114300" distR="114300" simplePos="0" relativeHeight="251666432" behindDoc="0" locked="0" layoutInCell="1" allowOverlap="1">
                  <wp:simplePos x="0" y="0"/>
                  <wp:positionH relativeFrom="column">
                    <wp:posOffset>391160</wp:posOffset>
                  </wp:positionH>
                  <wp:positionV relativeFrom="paragraph">
                    <wp:posOffset>8890</wp:posOffset>
                  </wp:positionV>
                  <wp:extent cx="305435" cy="530225"/>
                  <wp:effectExtent l="0" t="0" r="18415" b="3175"/>
                  <wp:wrapNone/>
                  <wp:docPr id="30" name="图片 30"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指北针"/>
                          <pic:cNvPicPr>
                            <a:picLocks noChangeAspect="1"/>
                          </pic:cNvPicPr>
                        </pic:nvPicPr>
                        <pic:blipFill>
                          <a:blip r:embed="rId16"/>
                          <a:stretch>
                            <a:fillRect/>
                          </a:stretch>
                        </pic:blipFill>
                        <pic:spPr>
                          <a:xfrm>
                            <a:off x="0" y="0"/>
                            <a:ext cx="305435" cy="530225"/>
                          </a:xfrm>
                          <a:prstGeom prst="rect">
                            <a:avLst/>
                          </a:prstGeom>
                        </pic:spPr>
                      </pic:pic>
                    </a:graphicData>
                  </a:graphic>
                </wp:anchor>
              </w:drawing>
            </w:r>
            <w:r>
              <w:rPr>
                <w:sz w:val="21"/>
              </w:rPr>
              <w:drawing>
                <wp:inline distT="0" distB="0" distL="114300" distR="114300">
                  <wp:extent cx="4504055" cy="3110865"/>
                  <wp:effectExtent l="9525" t="9525" r="20320" b="2286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17"/>
                          <a:srcRect r="31074"/>
                          <a:stretch>
                            <a:fillRect/>
                          </a:stretch>
                        </pic:blipFill>
                        <pic:spPr>
                          <a:xfrm>
                            <a:off x="0" y="0"/>
                            <a:ext cx="4504055" cy="3110865"/>
                          </a:xfrm>
                          <a:prstGeom prst="rect">
                            <a:avLst/>
                          </a:prstGeom>
                          <a:ln w="6350" cmpd="sng">
                            <a:solidFill>
                              <a:schemeClr val="tx1"/>
                            </a:solidFill>
                            <a:prstDash val="solid"/>
                          </a:ln>
                        </pic:spPr>
                      </pic:pic>
                    </a:graphicData>
                  </a:graphic>
                </wp:inline>
              </w:drawing>
            </w:r>
          </w:p>
          <w:p>
            <w:pPr>
              <w:adjustRightInd w:val="0"/>
              <w:snapToGrid w:val="0"/>
              <w:spacing w:line="360" w:lineRule="auto"/>
              <w:jc w:val="center"/>
              <w:rPr>
                <w:rFonts w:hint="eastAsia" w:eastAsia="仿宋" w:cs="Times New Roman"/>
                <w:b/>
                <w:color w:val="auto"/>
                <w:kern w:val="0"/>
                <w:szCs w:val="21"/>
                <w:lang w:val="en-US" w:eastAsia="zh-CN"/>
              </w:rPr>
            </w:pPr>
            <w:r>
              <w:rPr>
                <w:rFonts w:hint="default" w:ascii="Times New Roman" w:hAnsi="Times New Roman" w:eastAsia="仿宋" w:cs="Times New Roman"/>
                <w:b/>
                <w:color w:val="auto"/>
                <w:kern w:val="0"/>
                <w:szCs w:val="21"/>
              </w:rPr>
              <w:t>图2-</w:t>
            </w:r>
            <w:r>
              <w:rPr>
                <w:rFonts w:hint="eastAsia" w:eastAsia="仿宋" w:cs="Times New Roman"/>
                <w:b/>
                <w:color w:val="auto"/>
                <w:kern w:val="0"/>
                <w:szCs w:val="21"/>
                <w:lang w:val="en-US" w:eastAsia="zh-CN"/>
              </w:rPr>
              <w:t>3</w:t>
            </w:r>
            <w:r>
              <w:rPr>
                <w:rFonts w:hint="default" w:ascii="Times New Roman" w:hAnsi="Times New Roman" w:eastAsia="仿宋" w:cs="Times New Roman"/>
                <w:b/>
                <w:color w:val="auto"/>
                <w:kern w:val="0"/>
                <w:szCs w:val="21"/>
              </w:rPr>
              <w:t xml:space="preserve">  </w:t>
            </w:r>
            <w:r>
              <w:rPr>
                <w:rFonts w:hint="eastAsia" w:eastAsia="仿宋" w:cs="Times New Roman"/>
                <w:b/>
                <w:color w:val="auto"/>
                <w:kern w:val="0"/>
                <w:szCs w:val="21"/>
                <w:lang w:val="en-US" w:eastAsia="zh-CN"/>
              </w:rPr>
              <w:t>风电场平面布置图</w:t>
            </w:r>
          </w:p>
          <w:p>
            <w:pPr>
              <w:adjustRightInd w:val="0"/>
              <w:snapToGrid w:val="0"/>
              <w:spacing w:line="360" w:lineRule="auto"/>
              <w:ind w:firstLine="480" w:firstLineChars="200"/>
              <w:rPr>
                <w:rFonts w:hint="eastAsia" w:eastAsia="仿宋" w:cs="Times New Roman"/>
                <w:color w:val="auto"/>
                <w:kern w:val="0"/>
                <w:sz w:val="24"/>
                <w:lang w:val="en-US" w:eastAsia="zh-CN"/>
              </w:rPr>
            </w:pPr>
            <w:r>
              <w:rPr>
                <w:rFonts w:hint="eastAsia" w:eastAsia="仿宋" w:cs="Times New Roman"/>
                <w:color w:val="auto"/>
                <w:kern w:val="0"/>
                <w:sz w:val="24"/>
                <w:lang w:val="en-US" w:eastAsia="zh-CN"/>
              </w:rPr>
              <w:t>本风电场用地包括永久用地和临时用地。本工程总占地12.4254hm</w:t>
            </w:r>
            <w:r>
              <w:rPr>
                <w:rFonts w:hint="eastAsia" w:eastAsia="仿宋" w:cs="Times New Roman"/>
                <w:color w:val="auto"/>
                <w:kern w:val="0"/>
                <w:sz w:val="24"/>
                <w:vertAlign w:val="superscript"/>
                <w:lang w:val="en-US" w:eastAsia="zh-CN"/>
              </w:rPr>
              <w:t>2</w:t>
            </w:r>
            <w:r>
              <w:rPr>
                <w:rFonts w:hint="eastAsia" w:eastAsia="仿宋" w:cs="Times New Roman"/>
                <w:color w:val="auto"/>
                <w:kern w:val="0"/>
                <w:sz w:val="24"/>
                <w:lang w:val="en-US" w:eastAsia="zh-CN"/>
              </w:rPr>
              <w:t>，其中永久占地0.6554hm</w:t>
            </w:r>
            <w:r>
              <w:rPr>
                <w:rFonts w:hint="eastAsia" w:eastAsia="仿宋" w:cs="Times New Roman"/>
                <w:color w:val="auto"/>
                <w:kern w:val="0"/>
                <w:sz w:val="24"/>
                <w:vertAlign w:val="superscript"/>
                <w:lang w:val="en-US" w:eastAsia="zh-CN"/>
              </w:rPr>
              <w:t>2</w:t>
            </w:r>
            <w:r>
              <w:rPr>
                <w:rFonts w:hint="eastAsia" w:eastAsia="仿宋" w:cs="Times New Roman"/>
                <w:color w:val="auto"/>
                <w:kern w:val="0"/>
                <w:sz w:val="24"/>
                <w:lang w:val="en-US" w:eastAsia="zh-CN"/>
              </w:rPr>
              <w:t>，临时占地11.77hm</w:t>
            </w:r>
            <w:r>
              <w:rPr>
                <w:rFonts w:hint="eastAsia" w:eastAsia="仿宋" w:cs="Times New Roman"/>
                <w:color w:val="auto"/>
                <w:kern w:val="0"/>
                <w:sz w:val="24"/>
                <w:vertAlign w:val="superscript"/>
                <w:lang w:val="en-US" w:eastAsia="zh-CN"/>
              </w:rPr>
              <w:t>2</w:t>
            </w:r>
            <w:r>
              <w:rPr>
                <w:rFonts w:hint="eastAsia" w:eastAsia="仿宋" w:cs="Times New Roman"/>
                <w:color w:val="auto"/>
                <w:kern w:val="0"/>
                <w:sz w:val="24"/>
                <w:lang w:val="en-US" w:eastAsia="zh-CN"/>
              </w:rPr>
              <w:t>，占地类型主要为林地。</w:t>
            </w:r>
          </w:p>
          <w:p>
            <w:pPr>
              <w:adjustRightInd w:val="0"/>
              <w:snapToGrid w:val="0"/>
              <w:spacing w:line="360" w:lineRule="auto"/>
              <w:jc w:val="center"/>
              <w:rPr>
                <w:rFonts w:hint="eastAsia" w:eastAsia="仿宋" w:cs="Times New Roman"/>
                <w:color w:val="auto"/>
                <w:kern w:val="0"/>
                <w:sz w:val="24"/>
                <w:lang w:val="en-US" w:eastAsia="zh-CN"/>
              </w:rPr>
            </w:pPr>
            <w:r>
              <w:rPr>
                <w:rFonts w:hint="eastAsia" w:eastAsia="仿宋" w:cs="Times New Roman"/>
                <w:b/>
                <w:bCs/>
                <w:color w:val="auto"/>
                <w:kern w:val="0"/>
                <w:sz w:val="24"/>
                <w:lang w:val="en-US" w:eastAsia="zh-CN"/>
              </w:rPr>
              <w:t>表2-5 工程占地情况一览表（单位：hm</w:t>
            </w:r>
            <w:r>
              <w:rPr>
                <w:rFonts w:hint="eastAsia" w:eastAsia="仿宋" w:cs="Times New Roman"/>
                <w:b/>
                <w:bCs/>
                <w:color w:val="auto"/>
                <w:kern w:val="0"/>
                <w:sz w:val="24"/>
                <w:vertAlign w:val="superscript"/>
                <w:lang w:val="en-US" w:eastAsia="zh-CN"/>
              </w:rPr>
              <w:t>2</w:t>
            </w:r>
            <w:r>
              <w:rPr>
                <w:rFonts w:hint="eastAsia" w:eastAsia="仿宋" w:cs="Times New Roman"/>
                <w:b/>
                <w:bCs/>
                <w:color w:val="auto"/>
                <w:kern w:val="0"/>
                <w:sz w:val="24"/>
                <w:lang w:val="en-US" w:eastAsia="zh-CN"/>
              </w:rPr>
              <w:t>）</w:t>
            </w:r>
          </w:p>
          <w:tbl>
            <w:tblPr>
              <w:tblStyle w:val="83"/>
              <w:tblW w:w="4998" w:type="pct"/>
              <w:tblInd w:w="0"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474"/>
              <w:gridCol w:w="1409"/>
              <w:gridCol w:w="1434"/>
              <w:gridCol w:w="1657"/>
              <w:gridCol w:w="1333"/>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489" w:type="pct"/>
                  <w:vMerge w:val="restart"/>
                  <w:tcBorders>
                    <w:bottom w:val="nil"/>
                  </w:tcBorders>
                  <w:vAlign w:val="center"/>
                </w:tcPr>
                <w:p>
                  <w:pPr>
                    <w:pStyle w:val="82"/>
                    <w:spacing w:before="238" w:line="221" w:lineRule="auto"/>
                    <w:ind w:left="847"/>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3"/>
                    </w:rPr>
                    <w:t>项目</w:t>
                  </w:r>
                </w:p>
              </w:tc>
              <w:tc>
                <w:tcPr>
                  <w:tcW w:w="1711" w:type="pct"/>
                  <w:gridSpan w:val="2"/>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10"/>
                    </w:rPr>
                    <w:t>占地性质</w:t>
                  </w:r>
                </w:p>
              </w:tc>
              <w:tc>
                <w:tcPr>
                  <w:tcW w:w="997" w:type="pct"/>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10"/>
                    </w:rPr>
                    <w:t>占地类型</w:t>
                  </w:r>
                </w:p>
              </w:tc>
              <w:tc>
                <w:tcPr>
                  <w:tcW w:w="802" w:type="pct"/>
                  <w:vMerge w:val="restart"/>
                  <w:tcBorders>
                    <w:bottom w:val="nil"/>
                  </w:tcBorders>
                  <w:vAlign w:val="center"/>
                </w:tcPr>
                <w:p>
                  <w:pPr>
                    <w:spacing w:before="114" w:line="187" w:lineRule="auto"/>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spacing w:val="-2"/>
                    </w:rPr>
                    <w:t>合计</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Merge w:val="continue"/>
                  <w:tcBorders>
                    <w:top w:val="nil"/>
                  </w:tcBorders>
                  <w:vAlign w:val="center"/>
                </w:tcPr>
                <w:p>
                  <w:pPr>
                    <w:rPr>
                      <w:rFonts w:hint="default" w:ascii="Times New Roman" w:hAnsi="Times New Roman" w:eastAsia="仿宋" w:cs="Times New Roman"/>
                      <w:b/>
                      <w:bCs/>
                      <w:color w:val="auto"/>
                      <w:sz w:val="21"/>
                    </w:rPr>
                  </w:pPr>
                </w:p>
              </w:tc>
              <w:tc>
                <w:tcPr>
                  <w:tcW w:w="848" w:type="pct"/>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2"/>
                    </w:rPr>
                    <w:t>永久占地</w:t>
                  </w:r>
                </w:p>
              </w:tc>
              <w:tc>
                <w:tcPr>
                  <w:tcW w:w="863" w:type="pct"/>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1"/>
                      <w:sz w:val="21"/>
                      <w:szCs w:val="21"/>
                      <w:lang w:val="en-US" w:eastAsia="zh-CN"/>
                    </w:rPr>
                    <w:t>临时</w:t>
                  </w:r>
                  <w:r>
                    <w:rPr>
                      <w:rFonts w:hint="default" w:ascii="Times New Roman" w:hAnsi="Times New Roman" w:eastAsia="仿宋" w:cs="Times New Roman"/>
                      <w:b/>
                      <w:bCs/>
                      <w:color w:val="auto"/>
                      <w:spacing w:val="-5"/>
                    </w:rPr>
                    <w:t>占地</w:t>
                  </w:r>
                </w:p>
              </w:tc>
              <w:tc>
                <w:tcPr>
                  <w:tcW w:w="997" w:type="pct"/>
                  <w:vAlign w:val="center"/>
                </w:tcPr>
                <w:p>
                  <w:pPr>
                    <w:spacing w:before="114" w:line="187" w:lineRule="auto"/>
                    <w:jc w:val="center"/>
                    <w:rPr>
                      <w:rFonts w:hint="eastAsia" w:ascii="Times New Roman" w:hAnsi="Times New Roman" w:eastAsia="仿宋" w:cs="Times New Roman"/>
                      <w:b/>
                      <w:bCs/>
                      <w:color w:val="auto"/>
                      <w:lang w:eastAsia="zh-CN"/>
                    </w:rPr>
                  </w:pPr>
                  <w:r>
                    <w:rPr>
                      <w:rFonts w:hint="eastAsia" w:eastAsia="仿宋" w:cs="Times New Roman"/>
                      <w:b/>
                      <w:bCs/>
                      <w:color w:val="auto"/>
                      <w:spacing w:val="-2"/>
                      <w:lang w:val="en-US" w:eastAsia="zh-CN"/>
                    </w:rPr>
                    <w:t>林地</w:t>
                  </w:r>
                </w:p>
              </w:tc>
              <w:tc>
                <w:tcPr>
                  <w:tcW w:w="802" w:type="pct"/>
                  <w:vMerge w:val="continue"/>
                  <w:tcBorders>
                    <w:top w:val="nil"/>
                  </w:tcBorders>
                  <w:vAlign w:val="center"/>
                </w:tcPr>
                <w:p>
                  <w:pPr>
                    <w:rPr>
                      <w:rFonts w:hint="default" w:ascii="Times New Roman" w:hAnsi="Times New Roman" w:eastAsia="仿宋"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风机及箱变区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0.1328</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2.4</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2.5328</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2.5328</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升压站区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0.5226</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ascii="Times New Roman" w:hAnsi="Times New Roman" w:eastAsia="仿宋" w:cs="Times New Roman"/>
                      <w:color w:val="auto"/>
                      <w:spacing w:val="-1"/>
                      <w:sz w:val="21"/>
                      <w:szCs w:val="21"/>
                      <w:lang w:val="en-US" w:eastAsia="zh-CN"/>
                    </w:rPr>
                    <w:t>0</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0.5226</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0.5226</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道路工程区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3.19</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3.19</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3.19</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集电线路区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2.53</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2.53</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2.53</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施工生产生活区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0.8</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0.8</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弃渣场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2.85</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2.85</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2.85</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合计</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0.6554</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11.77</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12.4254</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12.4254</w:t>
                  </w:r>
                </w:p>
              </w:tc>
            </w:tr>
          </w:tbl>
          <w:p>
            <w:pPr>
              <w:adjustRightInd w:val="0"/>
              <w:snapToGrid w:val="0"/>
              <w:spacing w:line="360" w:lineRule="auto"/>
              <w:rPr>
                <w:rFonts w:hint="default" w:ascii="Times New Roman" w:hAnsi="Times New Roman" w:eastAsia="仿宋" w:cs="Times New Roman"/>
                <w:b/>
                <w:color w:val="auto"/>
                <w:kern w:val="0"/>
                <w:sz w:val="24"/>
              </w:rPr>
            </w:pPr>
            <w:r>
              <w:rPr>
                <w:rFonts w:hint="eastAsia" w:eastAsia="仿宋" w:cs="Times New Roman"/>
                <w:b/>
                <w:color w:val="auto"/>
                <w:kern w:val="0"/>
                <w:sz w:val="24"/>
                <w:lang w:val="en-US" w:eastAsia="zh-CN"/>
              </w:rPr>
              <w:t>2</w:t>
            </w:r>
            <w:r>
              <w:rPr>
                <w:rFonts w:hint="default" w:ascii="Times New Roman" w:hAnsi="Times New Roman" w:eastAsia="仿宋" w:cs="Times New Roman"/>
                <w:b/>
                <w:color w:val="auto"/>
                <w:kern w:val="0"/>
                <w:sz w:val="24"/>
              </w:rPr>
              <w:t>、施工布置</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①施工组织设计</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本工程为新建工程，风电场包括</w:t>
            </w:r>
            <w:r>
              <w:rPr>
                <w:rFonts w:hint="eastAsia" w:eastAsia="仿宋" w:cs="Times New Roman"/>
                <w:color w:val="auto"/>
                <w:kern w:val="0"/>
                <w:sz w:val="24"/>
                <w:lang w:val="en-US" w:eastAsia="zh-CN"/>
              </w:rPr>
              <w:t>10个</w:t>
            </w:r>
            <w:r>
              <w:rPr>
                <w:rFonts w:hint="default" w:ascii="Times New Roman" w:hAnsi="Times New Roman" w:eastAsia="仿宋" w:cs="Times New Roman"/>
                <w:color w:val="auto"/>
                <w:kern w:val="0"/>
                <w:sz w:val="24"/>
              </w:rPr>
              <w:t>风机塔、1个升压站等。主要施工工程量为风机基础、风机上部设备材料吊装安装、风电场箱式变基础及设备安装等。根据建设单位要求，在风电场合适位置设置一个施工区，施工区分为</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和施工生活区。</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具体施工组织条件如下：</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A.施工供水</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根据现场踏勘调查，本工程施工用水可通过水车从附近城镇或供水站运水。风电场施工现场生产、生活、消防用水量为</w:t>
            </w:r>
            <w:r>
              <w:rPr>
                <w:rFonts w:hint="eastAsia" w:eastAsia="仿宋" w:cs="Times New Roman"/>
                <w:color w:val="auto"/>
                <w:kern w:val="0"/>
                <w:sz w:val="24"/>
                <w:lang w:val="en-US" w:eastAsia="zh-CN"/>
              </w:rPr>
              <w:t>200</w:t>
            </w:r>
            <w:r>
              <w:rPr>
                <w:rFonts w:hint="default" w:ascii="Times New Roman" w:hAnsi="Times New Roman" w:eastAsia="仿宋" w:cs="Times New Roman"/>
                <w:color w:val="auto"/>
                <w:kern w:val="0"/>
                <w:sz w:val="24"/>
              </w:rPr>
              <w:t>t/d。考虑在施工现场设</w:t>
            </w:r>
            <w:r>
              <w:rPr>
                <w:rFonts w:hint="eastAsia" w:eastAsia="仿宋" w:cs="Times New Roman"/>
                <w:color w:val="auto"/>
                <w:kern w:val="0"/>
                <w:sz w:val="24"/>
                <w:lang w:val="en-US" w:eastAsia="zh-CN"/>
              </w:rPr>
              <w:t>200</w:t>
            </w:r>
            <w:r>
              <w:rPr>
                <w:rFonts w:hint="default" w:ascii="Times New Roman" w:hAnsi="Times New Roman" w:eastAsia="仿宋" w:cs="Times New Roman"/>
                <w:color w:val="auto"/>
                <w:kern w:val="0"/>
                <w:sz w:val="24"/>
              </w:rPr>
              <w:t>m</w:t>
            </w:r>
            <w:r>
              <w:rPr>
                <w:rFonts w:hint="default" w:ascii="Times New Roman" w:hAnsi="Times New Roman" w:eastAsia="仿宋" w:cs="Times New Roman"/>
                <w:color w:val="auto"/>
                <w:kern w:val="0"/>
                <w:sz w:val="24"/>
                <w:vertAlign w:val="superscript"/>
              </w:rPr>
              <w:t>3</w:t>
            </w:r>
            <w:r>
              <w:rPr>
                <w:rFonts w:hint="default" w:ascii="Times New Roman" w:hAnsi="Times New Roman" w:eastAsia="仿宋" w:cs="Times New Roman"/>
                <w:color w:val="auto"/>
                <w:kern w:val="0"/>
                <w:sz w:val="24"/>
              </w:rPr>
              <w:t>蓄水池一座，以满足施工生活用水、施工生产用水和消防用水的需求。各风机现场用水采用汽车装水罐运输。</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B.施工供电</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本项目施工临时设施场地用电初步计划从兴马乡引接，由于各机位较为分散，机位施工用电考虑采用柴油发电机作为施工电源。</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C.建筑材料</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本工程所需的主要材料为砂石料、水泥、钢材、木材、油料等。主要建筑材料来源充足，砂石料可从场址附近砂石料场采购；水泥和钢材及其它建筑材料可从</w:t>
            </w:r>
            <w:r>
              <w:rPr>
                <w:rFonts w:hint="eastAsia" w:eastAsia="仿宋" w:cs="Times New Roman"/>
                <w:color w:val="auto"/>
                <w:kern w:val="0"/>
                <w:sz w:val="24"/>
                <w:lang w:eastAsia="zh-CN"/>
              </w:rPr>
              <w:t>巴中市南江县</w:t>
            </w:r>
            <w:r>
              <w:rPr>
                <w:rFonts w:hint="default" w:ascii="Times New Roman" w:hAnsi="Times New Roman" w:eastAsia="仿宋" w:cs="Times New Roman"/>
                <w:color w:val="auto"/>
                <w:kern w:val="0"/>
                <w:sz w:val="24"/>
              </w:rPr>
              <w:t>区及附近县市采购，通过公路运至施工现场。</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②施工总布置</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施工总布置应综合考虑工程规模、施工方案及工期、造价等因素，按照因地制宜、因时制宜、有利生产、方便生活、易于管理、安全可靠、节约用地的原则，在满足环保与水保要求的条件下布置办公区、施工仓库、供电供水、堆场等。</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本工程场址中心距</w:t>
            </w:r>
            <w:r>
              <w:rPr>
                <w:rFonts w:hint="eastAsia" w:eastAsia="仿宋" w:cs="Times New Roman"/>
                <w:color w:val="auto"/>
                <w:kern w:val="0"/>
                <w:sz w:val="24"/>
                <w:lang w:eastAsia="zh-CN"/>
              </w:rPr>
              <w:t>巴中市南江县</w:t>
            </w:r>
            <w:r>
              <w:rPr>
                <w:rFonts w:hint="default" w:ascii="Times New Roman" w:hAnsi="Times New Roman" w:eastAsia="仿宋" w:cs="Times New Roman"/>
                <w:color w:val="auto"/>
                <w:kern w:val="0"/>
                <w:sz w:val="24"/>
              </w:rPr>
              <w:t>约2</w:t>
            </w:r>
            <w:r>
              <w:rPr>
                <w:rFonts w:hint="eastAsia" w:eastAsia="仿宋" w:cs="Times New Roman"/>
                <w:color w:val="auto"/>
                <w:kern w:val="0"/>
                <w:sz w:val="24"/>
                <w:lang w:val="en-US" w:eastAsia="zh-CN"/>
              </w:rPr>
              <w:t>6</w:t>
            </w:r>
            <w:r>
              <w:rPr>
                <w:rFonts w:hint="default" w:ascii="Times New Roman" w:hAnsi="Times New Roman" w:eastAsia="仿宋" w:cs="Times New Roman"/>
                <w:color w:val="auto"/>
                <w:kern w:val="0"/>
                <w:sz w:val="24"/>
              </w:rPr>
              <w:t>km，部分辅助企业可充分利用当地的资源。</w:t>
            </w:r>
            <w:r>
              <w:rPr>
                <w:rFonts w:hint="eastAsia" w:eastAsia="仿宋" w:cs="Times New Roman"/>
                <w:color w:val="auto"/>
                <w:kern w:val="0"/>
                <w:sz w:val="24"/>
                <w:lang w:val="en-US" w:eastAsia="zh-CN"/>
              </w:rPr>
              <w:t>施工生产生活区</w:t>
            </w:r>
            <w:r>
              <w:rPr>
                <w:rFonts w:hint="default" w:ascii="Times New Roman" w:hAnsi="Times New Roman" w:eastAsia="仿宋" w:cs="Times New Roman"/>
                <w:color w:val="auto"/>
                <w:kern w:val="0"/>
                <w:sz w:val="24"/>
              </w:rPr>
              <w:t>设置</w:t>
            </w:r>
            <w:r>
              <w:rPr>
                <w:rFonts w:hint="eastAsia" w:eastAsia="仿宋" w:cs="Times New Roman"/>
                <w:color w:val="auto"/>
                <w:kern w:val="0"/>
                <w:sz w:val="24"/>
                <w:lang w:val="en-US" w:eastAsia="zh-CN"/>
              </w:rPr>
              <w:t>混凝土拌合站</w:t>
            </w:r>
            <w:r>
              <w:rPr>
                <w:rFonts w:hint="eastAsia" w:eastAsia="仿宋" w:cs="Times New Roman"/>
                <w:color w:val="auto"/>
                <w:kern w:val="0"/>
                <w:sz w:val="24"/>
                <w:lang w:eastAsia="zh-CN"/>
              </w:rPr>
              <w:t>、</w:t>
            </w:r>
            <w:r>
              <w:rPr>
                <w:rFonts w:hint="default" w:ascii="Times New Roman" w:hAnsi="Times New Roman" w:eastAsia="仿宋" w:cs="Times New Roman"/>
                <w:color w:val="auto"/>
                <w:kern w:val="0"/>
                <w:sz w:val="24"/>
              </w:rPr>
              <w:t>机械修配及综合加工厂（包括钢筋加工厂、木材加工厂），为了便于管理，施工工厂集中布置在</w:t>
            </w:r>
            <w:r>
              <w:rPr>
                <w:rFonts w:hint="eastAsia" w:eastAsia="仿宋" w:cs="Times New Roman"/>
                <w:color w:val="auto"/>
                <w:kern w:val="0"/>
                <w:sz w:val="24"/>
                <w:lang w:eastAsia="zh-CN"/>
              </w:rPr>
              <w:t>110kV</w:t>
            </w:r>
            <w:r>
              <w:rPr>
                <w:rFonts w:hint="default" w:ascii="Times New Roman" w:hAnsi="Times New Roman" w:eastAsia="仿宋" w:cs="Times New Roman"/>
                <w:color w:val="auto"/>
                <w:kern w:val="0"/>
                <w:sz w:val="24"/>
              </w:rPr>
              <w:t>升压变电站附近，总占地面积</w:t>
            </w:r>
            <w:r>
              <w:rPr>
                <w:rFonts w:hint="eastAsia" w:eastAsia="仿宋" w:cs="Times New Roman"/>
                <w:color w:val="auto"/>
                <w:kern w:val="0"/>
                <w:sz w:val="24"/>
                <w:lang w:val="en-US" w:eastAsia="zh-CN"/>
              </w:rPr>
              <w:t>8</w:t>
            </w:r>
            <w:r>
              <w:rPr>
                <w:rFonts w:hint="default" w:ascii="Times New Roman" w:hAnsi="Times New Roman" w:eastAsia="仿宋" w:cs="Times New Roman"/>
                <w:color w:val="auto"/>
                <w:kern w:val="0"/>
                <w:sz w:val="24"/>
              </w:rPr>
              <w:t>000m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A.施工管理及办公区布置</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本工程施工期的平均人数为</w:t>
            </w:r>
            <w:r>
              <w:rPr>
                <w:rFonts w:hint="eastAsia" w:eastAsia="仿宋" w:cs="Times New Roman"/>
                <w:color w:val="auto"/>
                <w:kern w:val="0"/>
                <w:sz w:val="24"/>
                <w:lang w:val="en-US" w:eastAsia="zh-CN"/>
              </w:rPr>
              <w:t>150</w:t>
            </w:r>
            <w:r>
              <w:rPr>
                <w:rFonts w:hint="default" w:ascii="Times New Roman" w:hAnsi="Times New Roman" w:eastAsia="仿宋" w:cs="Times New Roman"/>
                <w:color w:val="auto"/>
                <w:kern w:val="0"/>
                <w:sz w:val="24"/>
              </w:rPr>
              <w:t>人，高峰人数为</w:t>
            </w:r>
            <w:r>
              <w:rPr>
                <w:rFonts w:hint="eastAsia" w:eastAsia="仿宋" w:cs="Times New Roman"/>
                <w:color w:val="auto"/>
                <w:kern w:val="0"/>
                <w:sz w:val="24"/>
                <w:lang w:val="en-US" w:eastAsia="zh-CN"/>
              </w:rPr>
              <w:t>200</w:t>
            </w:r>
            <w:r>
              <w:rPr>
                <w:rFonts w:hint="default" w:ascii="Times New Roman" w:hAnsi="Times New Roman" w:eastAsia="仿宋" w:cs="Times New Roman"/>
                <w:color w:val="auto"/>
                <w:kern w:val="0"/>
                <w:sz w:val="24"/>
              </w:rPr>
              <w:t>人。施工临时办公区布置在进场口附近，该处场地交通便利。经计算，施工临时办公区占地面积约</w:t>
            </w:r>
            <w:r>
              <w:rPr>
                <w:rFonts w:hint="eastAsia" w:eastAsia="仿宋" w:cs="Times New Roman"/>
                <w:color w:val="auto"/>
                <w:kern w:val="0"/>
                <w:sz w:val="24"/>
                <w:lang w:val="en-US" w:eastAsia="zh-CN"/>
              </w:rPr>
              <w:t>1</w:t>
            </w:r>
            <w:r>
              <w:rPr>
                <w:rFonts w:hint="default" w:ascii="Times New Roman" w:hAnsi="Times New Roman" w:eastAsia="仿宋" w:cs="Times New Roman"/>
                <w:color w:val="auto"/>
                <w:kern w:val="0"/>
                <w:sz w:val="24"/>
              </w:rPr>
              <w:t>500m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,建筑面积约</w:t>
            </w:r>
            <w:r>
              <w:rPr>
                <w:rFonts w:hint="eastAsia" w:eastAsia="仿宋" w:cs="Times New Roman"/>
                <w:color w:val="auto"/>
                <w:kern w:val="0"/>
                <w:sz w:val="24"/>
                <w:lang w:val="en-US" w:eastAsia="zh-CN"/>
              </w:rPr>
              <w:t>10</w:t>
            </w:r>
            <w:r>
              <w:rPr>
                <w:rFonts w:hint="default" w:ascii="Times New Roman" w:hAnsi="Times New Roman" w:eastAsia="仿宋" w:cs="Times New Roman"/>
                <w:color w:val="auto"/>
                <w:kern w:val="0"/>
                <w:sz w:val="24"/>
              </w:rPr>
              <w:t>00m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p>
          <w:p>
            <w:pPr>
              <w:adjustRightInd w:val="0"/>
              <w:snapToGrid w:val="0"/>
              <w:spacing w:line="360" w:lineRule="auto"/>
              <w:ind w:firstLine="480" w:firstLineChars="200"/>
              <w:rPr>
                <w:rFonts w:hint="default" w:ascii="Times New Roman" w:hAnsi="Times New Roman" w:eastAsia="仿宋" w:cs="Times New Roman"/>
                <w:color w:val="auto"/>
                <w:kern w:val="0"/>
                <w:sz w:val="24"/>
              </w:rPr>
            </w:pPr>
          </w:p>
          <w:p>
            <w:pPr>
              <w:adjustRightInd w:val="0"/>
              <w:snapToGrid w:val="0"/>
              <w:spacing w:line="360" w:lineRule="auto"/>
              <w:ind w:firstLine="480" w:firstLineChars="200"/>
              <w:rPr>
                <w:rFonts w:hint="default" w:ascii="Times New Roman" w:hAnsi="Times New Roman" w:eastAsia="仿宋" w:cs="Times New Roman"/>
                <w:color w:val="auto"/>
                <w:kern w:val="0"/>
                <w:sz w:val="24"/>
              </w:rPr>
            </w:pPr>
          </w:p>
          <w:p>
            <w:pPr>
              <w:adjustRightInd w:val="0"/>
              <w:snapToGrid w:val="0"/>
              <w:spacing w:line="360" w:lineRule="auto"/>
              <w:ind w:firstLine="480" w:firstLineChars="200"/>
              <w:rPr>
                <w:rFonts w:hint="default" w:ascii="Times New Roman" w:hAnsi="Times New Roman" w:eastAsia="仿宋" w:cs="Times New Roman"/>
                <w:color w:val="auto"/>
                <w:kern w:val="0"/>
                <w:sz w:val="24"/>
              </w:rPr>
            </w:pPr>
          </w:p>
          <w:p>
            <w:pPr>
              <w:adjustRightInd w:val="0"/>
              <w:snapToGrid w:val="0"/>
              <w:spacing w:line="360" w:lineRule="auto"/>
              <w:ind w:firstLine="480" w:firstLineChars="200"/>
              <w:rPr>
                <w:rFonts w:hint="default" w:ascii="Times New Roman" w:hAnsi="Times New Roman" w:eastAsia="仿宋" w:cs="Times New Roman"/>
                <w:color w:val="auto"/>
                <w:kern w:val="0"/>
                <w:sz w:val="24"/>
              </w:rPr>
            </w:pPr>
          </w:p>
          <w:p>
            <w:pPr>
              <w:adjustRightInd w:val="0"/>
              <w:snapToGrid w:val="0"/>
              <w:spacing w:line="360" w:lineRule="auto"/>
              <w:ind w:left="0" w:leftChars="0" w:firstLine="0" w:firstLineChars="0"/>
              <w:jc w:val="center"/>
              <w:rPr>
                <w:rFonts w:hint="default" w:ascii="Times New Roman" w:hAnsi="Times New Roman" w:eastAsia="仿宋" w:cs="Times New Roman"/>
                <w:color w:val="auto"/>
                <w:kern w:val="0"/>
                <w:sz w:val="24"/>
              </w:rPr>
            </w:pPr>
            <w:r>
              <w:rPr>
                <w:sz w:val="21"/>
              </w:rPr>
              <mc:AlternateContent>
                <mc:Choice Requires="wps">
                  <w:drawing>
                    <wp:anchor distT="0" distB="0" distL="114300" distR="114300" simplePos="0" relativeHeight="251669504" behindDoc="0" locked="0" layoutInCell="1" allowOverlap="1">
                      <wp:simplePos x="0" y="0"/>
                      <wp:positionH relativeFrom="column">
                        <wp:posOffset>3141345</wp:posOffset>
                      </wp:positionH>
                      <wp:positionV relativeFrom="paragraph">
                        <wp:posOffset>902970</wp:posOffset>
                      </wp:positionV>
                      <wp:extent cx="737235" cy="879475"/>
                      <wp:effectExtent l="4445" t="4445" r="20320" b="11430"/>
                      <wp:wrapNone/>
                      <wp:docPr id="35" name="文本框 35"/>
                      <wp:cNvGraphicFramePr/>
                      <a:graphic xmlns:a="http://schemas.openxmlformats.org/drawingml/2006/main">
                        <a:graphicData uri="http://schemas.microsoft.com/office/word/2010/wordprocessingShape">
                          <wps:wsp>
                            <wps:cNvSpPr txBox="1"/>
                            <wps:spPr>
                              <a:xfrm>
                                <a:off x="0" y="0"/>
                                <a:ext cx="737235" cy="879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13"/>
                                      <w:szCs w:val="13"/>
                                      <w:lang w:val="en-US" w:eastAsia="zh-CN"/>
                                    </w:rPr>
                                  </w:pPr>
                                </w:p>
                                <w:p>
                                  <w:pPr>
                                    <w:rPr>
                                      <w:rFonts w:hint="eastAsia" w:ascii="楷体" w:hAnsi="楷体" w:eastAsia="楷体" w:cs="楷体"/>
                                      <w:sz w:val="13"/>
                                      <w:szCs w:val="13"/>
                                      <w:lang w:val="en-US" w:eastAsia="zh-CN"/>
                                    </w:rPr>
                                  </w:pPr>
                                </w:p>
                                <w:p>
                                  <w:pPr>
                                    <w:rPr>
                                      <w:rFonts w:hint="eastAsia" w:ascii="楷体" w:hAnsi="楷体" w:eastAsia="楷体" w:cs="楷体"/>
                                      <w:sz w:val="13"/>
                                      <w:szCs w:val="13"/>
                                      <w:lang w:val="en-US" w:eastAsia="zh-CN"/>
                                    </w:rPr>
                                  </w:pPr>
                                </w:p>
                                <w:p>
                                  <w:pPr>
                                    <w:rPr>
                                      <w:rFonts w:hint="default" w:ascii="楷体" w:hAnsi="楷体" w:eastAsia="楷体" w:cs="楷体"/>
                                      <w:sz w:val="13"/>
                                      <w:szCs w:val="13"/>
                                      <w:lang w:val="en-US" w:eastAsia="zh-CN"/>
                                    </w:rPr>
                                  </w:pPr>
                                  <w:r>
                                    <w:rPr>
                                      <w:rFonts w:hint="eastAsia" w:ascii="楷体" w:hAnsi="楷体" w:eastAsia="楷体" w:cs="楷体"/>
                                      <w:sz w:val="13"/>
                                      <w:szCs w:val="13"/>
                                      <w:lang w:val="en-US" w:eastAsia="zh-CN"/>
                                    </w:rPr>
                                    <w:t>混凝土拌合站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71.1pt;height:69.25pt;width:58.05pt;z-index:251669504;mso-width-relative:page;mso-height-relative:page;" fillcolor="#FFFFFF [3201]" filled="t" stroked="t" coordsize="21600,21600" o:gfxdata="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P7/z&#10;1wAAAAsBAAAPAAAAAAAAAAEAIAAAACIAAABkcnMvZG93bnJldi54bWxQSwECFAAUAAAACACHTuJA&#10;9MD5LVsCAAC4BAAADgAAAAAAAAABACAAAAAmAQAAZHJzL2Uyb0RvYy54bWxQSwUGAAAAAAYABgBZ&#10;AQAA8wUAAAAA&#10;">
                      <v:fill on="t" focussize="0,0"/>
                      <v:stroke weight="0.5pt" color="#000000 [3204]" joinstyle="round"/>
                      <v:imagedata o:title=""/>
                      <o:lock v:ext="edit" aspectratio="f"/>
                      <v:textbox>
                        <w:txbxContent>
                          <w:p>
                            <w:pPr>
                              <w:rPr>
                                <w:rFonts w:hint="eastAsia" w:ascii="楷体" w:hAnsi="楷体" w:eastAsia="楷体" w:cs="楷体"/>
                                <w:sz w:val="13"/>
                                <w:szCs w:val="13"/>
                                <w:lang w:val="en-US" w:eastAsia="zh-CN"/>
                              </w:rPr>
                            </w:pPr>
                          </w:p>
                          <w:p>
                            <w:pPr>
                              <w:rPr>
                                <w:rFonts w:hint="eastAsia" w:ascii="楷体" w:hAnsi="楷体" w:eastAsia="楷体" w:cs="楷体"/>
                                <w:sz w:val="13"/>
                                <w:szCs w:val="13"/>
                                <w:lang w:val="en-US" w:eastAsia="zh-CN"/>
                              </w:rPr>
                            </w:pPr>
                          </w:p>
                          <w:p>
                            <w:pPr>
                              <w:rPr>
                                <w:rFonts w:hint="eastAsia" w:ascii="楷体" w:hAnsi="楷体" w:eastAsia="楷体" w:cs="楷体"/>
                                <w:sz w:val="13"/>
                                <w:szCs w:val="13"/>
                                <w:lang w:val="en-US" w:eastAsia="zh-CN"/>
                              </w:rPr>
                            </w:pPr>
                          </w:p>
                          <w:p>
                            <w:pPr>
                              <w:rPr>
                                <w:rFonts w:hint="default" w:ascii="楷体" w:hAnsi="楷体" w:eastAsia="楷体" w:cs="楷体"/>
                                <w:sz w:val="13"/>
                                <w:szCs w:val="13"/>
                                <w:lang w:val="en-US" w:eastAsia="zh-CN"/>
                              </w:rPr>
                            </w:pPr>
                            <w:r>
                              <w:rPr>
                                <w:rFonts w:hint="eastAsia" w:ascii="楷体" w:hAnsi="楷体" w:eastAsia="楷体" w:cs="楷体"/>
                                <w:sz w:val="13"/>
                                <w:szCs w:val="13"/>
                                <w:lang w:val="en-US" w:eastAsia="zh-CN"/>
                              </w:rPr>
                              <w:t>混凝土拌合站</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1811020</wp:posOffset>
                      </wp:positionH>
                      <wp:positionV relativeFrom="paragraph">
                        <wp:posOffset>1046480</wp:posOffset>
                      </wp:positionV>
                      <wp:extent cx="436880" cy="418465"/>
                      <wp:effectExtent l="4445" t="4445" r="15875" b="15240"/>
                      <wp:wrapNone/>
                      <wp:docPr id="34" name="文本框 34"/>
                      <wp:cNvGraphicFramePr/>
                      <a:graphic xmlns:a="http://schemas.openxmlformats.org/drawingml/2006/main">
                        <a:graphicData uri="http://schemas.microsoft.com/office/word/2010/wordprocessingShape">
                          <wps:wsp>
                            <wps:cNvSpPr txBox="1"/>
                            <wps:spPr>
                              <a:xfrm>
                                <a:off x="3528060" y="2027555"/>
                                <a:ext cx="436880"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13"/>
                                      <w:szCs w:val="13"/>
                                      <w:lang w:val="en-US" w:eastAsia="zh-CN"/>
                                    </w:rPr>
                                  </w:pPr>
                                </w:p>
                                <w:p>
                                  <w:pPr>
                                    <w:rPr>
                                      <w:rFonts w:hint="eastAsia" w:ascii="楷体" w:hAnsi="楷体" w:eastAsia="楷体" w:cs="楷体"/>
                                      <w:sz w:val="13"/>
                                      <w:szCs w:val="13"/>
                                      <w:lang w:val="en-US" w:eastAsia="zh-CN"/>
                                    </w:rPr>
                                  </w:pPr>
                                  <w:r>
                                    <w:rPr>
                                      <w:rFonts w:hint="eastAsia" w:ascii="楷体" w:hAnsi="楷体" w:eastAsia="楷体" w:cs="楷体"/>
                                      <w:sz w:val="13"/>
                                      <w:szCs w:val="13"/>
                                      <w:lang w:val="en-US" w:eastAsia="zh-CN"/>
                                    </w:rPr>
                                    <w:t>供水站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6pt;margin-top:82.4pt;height:32.95pt;width:34.4pt;z-index:251668480;mso-width-relative:page;mso-height-relative:page;" fillcolor="#FFFFFF [3201]" filled="t" stroked="t" coordsize="21600,21600" o:gfxdata="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Ekfip1wAAAAsBAAAPAAAAAAAAAAEAIAAAACIAAABkcnMvZG93bnJldi54bWxQSwEC&#10;FAAUAAAACACHTuJAnWTuV2cCAADEBAAADgAAAAAAAAABACAAAAAmAQAAZHJzL2Uyb0RvYy54bWxQ&#10;SwUGAAAAAAYABgBZAQAA/wUAAAAA&#10;">
                      <v:fill on="t" focussize="0,0"/>
                      <v:stroke weight="0.5pt" color="#000000 [3204]" joinstyle="round"/>
                      <v:imagedata o:title=""/>
                      <o:lock v:ext="edit" aspectratio="f"/>
                      <v:textbox>
                        <w:txbxContent>
                          <w:p>
                            <w:pPr>
                              <w:rPr>
                                <w:rFonts w:hint="eastAsia" w:ascii="楷体" w:hAnsi="楷体" w:eastAsia="楷体" w:cs="楷体"/>
                                <w:sz w:val="13"/>
                                <w:szCs w:val="13"/>
                                <w:lang w:val="en-US" w:eastAsia="zh-CN"/>
                              </w:rPr>
                            </w:pPr>
                          </w:p>
                          <w:p>
                            <w:pPr>
                              <w:rPr>
                                <w:rFonts w:hint="eastAsia" w:ascii="楷体" w:hAnsi="楷体" w:eastAsia="楷体" w:cs="楷体"/>
                                <w:sz w:val="13"/>
                                <w:szCs w:val="13"/>
                                <w:lang w:val="en-US" w:eastAsia="zh-CN"/>
                              </w:rPr>
                            </w:pPr>
                            <w:r>
                              <w:rPr>
                                <w:rFonts w:hint="eastAsia" w:ascii="楷体" w:hAnsi="楷体" w:eastAsia="楷体" w:cs="楷体"/>
                                <w:sz w:val="13"/>
                                <w:szCs w:val="13"/>
                                <w:lang w:val="en-US" w:eastAsia="zh-CN"/>
                              </w:rPr>
                              <w:t>供水站</w:t>
                            </w:r>
                          </w:p>
                        </w:txbxContent>
                      </v:textbox>
                    </v:shape>
                  </w:pict>
                </mc:Fallback>
              </mc:AlternateContent>
            </w:r>
            <w:r>
              <w:rPr>
                <w:color w:val="auto"/>
                <w:position w:val="-104"/>
              </w:rPr>
              <w:drawing>
                <wp:inline distT="0" distB="0" distL="0" distR="0">
                  <wp:extent cx="3795395" cy="2480310"/>
                  <wp:effectExtent l="0" t="0" r="14605" b="1524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8"/>
                          <a:stretch>
                            <a:fillRect/>
                          </a:stretch>
                        </pic:blipFill>
                        <pic:spPr>
                          <a:xfrm>
                            <a:off x="0" y="0"/>
                            <a:ext cx="3795395" cy="2480310"/>
                          </a:xfrm>
                          <a:prstGeom prst="rect">
                            <a:avLst/>
                          </a:prstGeom>
                        </pic:spPr>
                      </pic:pic>
                    </a:graphicData>
                  </a:graphic>
                </wp:inline>
              </w:drawing>
            </w:r>
          </w:p>
          <w:p>
            <w:pPr>
              <w:adjustRightInd w:val="0"/>
              <w:snapToGrid w:val="0"/>
              <w:spacing w:line="360" w:lineRule="auto"/>
              <w:ind w:firstLine="422" w:firstLineChars="200"/>
              <w:jc w:val="center"/>
              <w:rPr>
                <w:rFonts w:hint="eastAsia" w:eastAsia="仿宋" w:cs="Times New Roman"/>
                <w:b/>
                <w:color w:val="auto"/>
                <w:kern w:val="0"/>
                <w:szCs w:val="21"/>
                <w:lang w:val="en-US" w:eastAsia="zh-CN"/>
              </w:rPr>
            </w:pPr>
            <w:r>
              <w:rPr>
                <w:rFonts w:hint="default" w:ascii="Times New Roman" w:hAnsi="Times New Roman" w:eastAsia="仿宋" w:cs="Times New Roman"/>
                <w:b/>
                <w:color w:val="auto"/>
                <w:kern w:val="0"/>
                <w:szCs w:val="21"/>
              </w:rPr>
              <w:t>图2-</w:t>
            </w:r>
            <w:r>
              <w:rPr>
                <w:rFonts w:hint="eastAsia" w:eastAsia="仿宋" w:cs="Times New Roman"/>
                <w:b/>
                <w:color w:val="auto"/>
                <w:kern w:val="0"/>
                <w:szCs w:val="21"/>
                <w:lang w:val="en-US" w:eastAsia="zh-CN"/>
              </w:rPr>
              <w:t>4</w:t>
            </w:r>
            <w:r>
              <w:rPr>
                <w:rFonts w:hint="default" w:ascii="Times New Roman" w:hAnsi="Times New Roman" w:eastAsia="仿宋" w:cs="Times New Roman"/>
                <w:b/>
                <w:color w:val="auto"/>
                <w:kern w:val="0"/>
                <w:szCs w:val="21"/>
              </w:rPr>
              <w:t xml:space="preserve">  </w:t>
            </w:r>
            <w:r>
              <w:rPr>
                <w:rFonts w:hint="eastAsia" w:eastAsia="仿宋" w:cs="Times New Roman"/>
                <w:b/>
                <w:color w:val="auto"/>
                <w:kern w:val="0"/>
                <w:szCs w:val="21"/>
                <w:lang w:val="en-US" w:eastAsia="zh-CN"/>
              </w:rPr>
              <w:t>施工营地总布置图</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B.混凝土系统</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本工程混凝土浇筑总量约</w:t>
            </w:r>
            <w:r>
              <w:rPr>
                <w:rFonts w:hint="eastAsia" w:eastAsia="仿宋" w:cs="Times New Roman"/>
                <w:color w:val="auto"/>
                <w:kern w:val="0"/>
                <w:sz w:val="24"/>
                <w:lang w:val="en-US" w:eastAsia="zh-CN"/>
              </w:rPr>
              <w:t>0.91</w:t>
            </w:r>
            <w:r>
              <w:rPr>
                <w:rFonts w:hint="default" w:ascii="Times New Roman" w:hAnsi="Times New Roman" w:eastAsia="仿宋" w:cs="Times New Roman"/>
                <w:color w:val="auto"/>
                <w:kern w:val="0"/>
                <w:sz w:val="24"/>
              </w:rPr>
              <w:t>万m</w:t>
            </w:r>
            <w:r>
              <w:rPr>
                <w:rFonts w:hint="default" w:ascii="Times New Roman" w:hAnsi="Times New Roman" w:eastAsia="仿宋" w:cs="Times New Roman"/>
                <w:color w:val="auto"/>
                <w:kern w:val="0"/>
                <w:sz w:val="24"/>
                <w:vertAlign w:val="superscript"/>
              </w:rPr>
              <w:t>3</w:t>
            </w:r>
            <w:r>
              <w:rPr>
                <w:rFonts w:hint="default" w:ascii="Times New Roman" w:hAnsi="Times New Roman" w:eastAsia="仿宋" w:cs="Times New Roman"/>
                <w:color w:val="auto"/>
                <w:kern w:val="0"/>
                <w:sz w:val="24"/>
              </w:rPr>
              <w:t>，包括</w:t>
            </w:r>
            <w:r>
              <w:rPr>
                <w:rFonts w:hint="eastAsia" w:eastAsia="仿宋" w:cs="Times New Roman"/>
                <w:color w:val="auto"/>
                <w:kern w:val="0"/>
                <w:sz w:val="24"/>
                <w:lang w:val="en-US" w:eastAsia="zh-CN"/>
              </w:rPr>
              <w:t>C15、</w:t>
            </w:r>
            <w:r>
              <w:rPr>
                <w:rFonts w:hint="default" w:ascii="Times New Roman" w:hAnsi="Times New Roman" w:eastAsia="仿宋" w:cs="Times New Roman"/>
                <w:color w:val="auto"/>
                <w:kern w:val="0"/>
                <w:sz w:val="24"/>
              </w:rPr>
              <w:t>C20、C25</w:t>
            </w:r>
            <w:r>
              <w:rPr>
                <w:rFonts w:hint="eastAsia" w:eastAsia="仿宋" w:cs="Times New Roman"/>
                <w:color w:val="auto"/>
                <w:kern w:val="0"/>
                <w:sz w:val="24"/>
                <w:lang w:eastAsia="zh-CN"/>
              </w:rPr>
              <w:t>、</w:t>
            </w:r>
            <w:r>
              <w:rPr>
                <w:rFonts w:hint="default" w:ascii="Times New Roman" w:hAnsi="Times New Roman" w:eastAsia="仿宋" w:cs="Times New Roman"/>
                <w:color w:val="auto"/>
                <w:kern w:val="0"/>
                <w:sz w:val="24"/>
              </w:rPr>
              <w:t>C</w:t>
            </w:r>
            <w:r>
              <w:rPr>
                <w:rFonts w:hint="eastAsia" w:eastAsia="仿宋" w:cs="Times New Roman"/>
                <w:color w:val="auto"/>
                <w:kern w:val="0"/>
                <w:sz w:val="24"/>
                <w:lang w:val="en-US" w:eastAsia="zh-CN"/>
              </w:rPr>
              <w:t>3</w:t>
            </w:r>
            <w:r>
              <w:rPr>
                <w:rFonts w:hint="default" w:ascii="Times New Roman" w:hAnsi="Times New Roman" w:eastAsia="仿宋" w:cs="Times New Roman"/>
                <w:color w:val="auto"/>
                <w:kern w:val="0"/>
                <w:sz w:val="24"/>
              </w:rPr>
              <w:t>0、C</w:t>
            </w:r>
            <w:r>
              <w:rPr>
                <w:rFonts w:hint="eastAsia" w:eastAsia="仿宋" w:cs="Times New Roman"/>
                <w:color w:val="auto"/>
                <w:kern w:val="0"/>
                <w:sz w:val="24"/>
                <w:lang w:val="en-US" w:eastAsia="zh-CN"/>
              </w:rPr>
              <w:t>3</w:t>
            </w:r>
            <w:r>
              <w:rPr>
                <w:rFonts w:hint="default" w:ascii="Times New Roman" w:hAnsi="Times New Roman" w:eastAsia="仿宋" w:cs="Times New Roman"/>
                <w:color w:val="auto"/>
                <w:kern w:val="0"/>
                <w:sz w:val="24"/>
              </w:rPr>
              <w:t>5、C40混凝土。根据工程需要，混凝土采用商品混凝土</w:t>
            </w:r>
            <w:r>
              <w:rPr>
                <w:rFonts w:hint="eastAsia" w:eastAsia="仿宋" w:cs="Times New Roman"/>
                <w:color w:val="auto"/>
                <w:kern w:val="0"/>
                <w:sz w:val="24"/>
                <w:lang w:val="en-US" w:eastAsia="zh-CN"/>
              </w:rPr>
              <w:t>和混凝土拌和站相结合方式</w:t>
            </w:r>
            <w:r>
              <w:rPr>
                <w:rFonts w:hint="default" w:ascii="Times New Roman" w:hAnsi="Times New Roman" w:eastAsia="仿宋" w:cs="Times New Roman"/>
                <w:color w:val="auto"/>
                <w:kern w:val="0"/>
                <w:sz w:val="24"/>
              </w:rPr>
              <w:t>。</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C.机械修配及综合加工厂</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混凝土预制件采取在当地采购的方式，现场不再另外设置混凝土预制件厂，仅设置机械修配厂及综合加工系统（包括钢筋加工厂、木材加工厂），木材库及钢筋库分别设在相应的加工工厂内。</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D.仓库布置</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本工程所需仓库集中布置在风电场进场口附近，主要设有综合仓库、机械停放场及设备堆场。综合仓库包括临时的生产、办公用品仓库等。</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E.施工临时设施用地</w:t>
            </w:r>
          </w:p>
          <w:p>
            <w:pPr>
              <w:adjustRightInd w:val="0"/>
              <w:snapToGrid w:val="0"/>
              <w:spacing w:line="360" w:lineRule="auto"/>
              <w:ind w:firstLine="480" w:firstLineChars="200"/>
              <w:rPr>
                <w:rFonts w:hint="eastAsia"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rPr>
              <w:t>本工程施工临时设施的用地情况详见表2-</w:t>
            </w:r>
            <w:r>
              <w:rPr>
                <w:rFonts w:hint="eastAsia" w:eastAsia="仿宋" w:cs="Times New Roman"/>
                <w:color w:val="auto"/>
                <w:kern w:val="0"/>
                <w:sz w:val="24"/>
                <w:lang w:val="en-US" w:eastAsia="zh-CN"/>
              </w:rPr>
              <w:t>6</w:t>
            </w:r>
            <w:r>
              <w:rPr>
                <w:rFonts w:hint="default" w:ascii="Times New Roman" w:hAnsi="Times New Roman" w:eastAsia="仿宋" w:cs="Times New Roman"/>
                <w:color w:val="auto"/>
                <w:kern w:val="0"/>
                <w:sz w:val="24"/>
              </w:rPr>
              <w:t>。</w:t>
            </w:r>
          </w:p>
          <w:p>
            <w:pPr>
              <w:adjustRightInd w:val="0"/>
              <w:snapToGrid w:val="0"/>
              <w:spacing w:line="360" w:lineRule="auto"/>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表2-</w:t>
            </w:r>
            <w:r>
              <w:rPr>
                <w:rFonts w:hint="eastAsia" w:eastAsia="仿宋" w:cs="Times New Roman"/>
                <w:b/>
                <w:color w:val="auto"/>
                <w:kern w:val="0"/>
                <w:szCs w:val="21"/>
                <w:lang w:val="en-US" w:eastAsia="zh-CN"/>
              </w:rPr>
              <w:t>6</w:t>
            </w:r>
            <w:r>
              <w:rPr>
                <w:rFonts w:hint="default" w:ascii="Times New Roman" w:hAnsi="Times New Roman" w:eastAsia="仿宋" w:cs="Times New Roman"/>
                <w:b/>
                <w:color w:val="auto"/>
                <w:kern w:val="0"/>
                <w:szCs w:val="21"/>
              </w:rPr>
              <w:t xml:space="preserve">  </w:t>
            </w:r>
            <w:r>
              <w:rPr>
                <w:rFonts w:hint="default" w:ascii="Times New Roman" w:hAnsi="Times New Roman" w:eastAsia="仿宋" w:cs="Times New Roman"/>
                <w:b/>
                <w:bCs/>
                <w:color w:val="auto"/>
                <w:szCs w:val="21"/>
              </w:rPr>
              <w:t>施工临时设施用地面积一览表</w:t>
            </w:r>
          </w:p>
          <w:tbl>
            <w:tblPr>
              <w:tblStyle w:val="22"/>
              <w:tblW w:w="4998" w:type="pct"/>
              <w:tblInd w:w="0" w:type="dxa"/>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3219"/>
              <w:gridCol w:w="2088"/>
              <w:gridCol w:w="2097"/>
            </w:tblGrid>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tcBorders>
                    <w:top w:val="single" w:color="auto" w:sz="12"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1939" w:type="pct"/>
                  <w:tcBorders>
                    <w:top w:val="single" w:color="auto" w:sz="12"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项目名称</w:t>
                  </w:r>
                </w:p>
              </w:tc>
              <w:tc>
                <w:tcPr>
                  <w:tcW w:w="1258" w:type="pct"/>
                  <w:tcBorders>
                    <w:top w:val="single" w:color="auto" w:sz="12"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用地面积(m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w:t>
                  </w:r>
                </w:p>
              </w:tc>
              <w:tc>
                <w:tcPr>
                  <w:tcW w:w="1263" w:type="pct"/>
                  <w:tcBorders>
                    <w:top w:val="single" w:color="auto" w:sz="12" w:space="0"/>
                    <w:right w:val="dotted" w:color="auto" w:sz="4" w:space="0"/>
                  </w:tcBorders>
                  <w:vAlign w:val="center"/>
                </w:tcPr>
                <w:p>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建筑</w:t>
                  </w:r>
                  <w:r>
                    <w:rPr>
                      <w:rFonts w:hint="default" w:ascii="Times New Roman" w:hAnsi="Times New Roman" w:eastAsia="仿宋" w:cs="Times New Roman"/>
                      <w:color w:val="auto"/>
                      <w:szCs w:val="21"/>
                    </w:rPr>
                    <w:t>面积(m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3219" w:type="dxa"/>
                  <w:vAlign w:val="top"/>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综合仓库</w:t>
                  </w:r>
                </w:p>
              </w:tc>
              <w:tc>
                <w:tcPr>
                  <w:tcW w:w="2088" w:type="dxa"/>
                  <w:vAlign w:val="top"/>
                </w:tcPr>
                <w:p>
                  <w:pPr>
                    <w:jc w:val="center"/>
                    <w:rPr>
                      <w:rFonts w:hint="default" w:eastAsia="仿宋" w:cs="Times New Roman"/>
                      <w:color w:val="auto"/>
                      <w:szCs w:val="21"/>
                      <w:lang w:val="en-US" w:eastAsia="zh-CN"/>
                    </w:rPr>
                  </w:pPr>
                  <w:r>
                    <w:rPr>
                      <w:rFonts w:hint="default" w:eastAsia="仿宋" w:cs="Times New Roman"/>
                      <w:color w:val="auto"/>
                      <w:szCs w:val="21"/>
                      <w:lang w:val="en-US" w:eastAsia="zh-CN"/>
                    </w:rPr>
                    <w:t>1000</w:t>
                  </w:r>
                </w:p>
              </w:tc>
              <w:tc>
                <w:tcPr>
                  <w:tcW w:w="2097" w:type="dxa"/>
                  <w:tcBorders>
                    <w:right w:val="dotted" w:color="auto" w:sz="4" w:space="0"/>
                  </w:tcBorders>
                  <w:vAlign w:val="top"/>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400</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3219" w:type="dxa"/>
                  <w:vAlign w:val="top"/>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临时生活区</w:t>
                  </w:r>
                </w:p>
              </w:tc>
              <w:tc>
                <w:tcPr>
                  <w:tcW w:w="2088" w:type="dxa"/>
                  <w:vAlign w:val="top"/>
                </w:tcPr>
                <w:p>
                  <w:pPr>
                    <w:jc w:val="center"/>
                    <w:rPr>
                      <w:rFonts w:hint="default" w:eastAsia="仿宋" w:cs="Times New Roman"/>
                      <w:color w:val="auto"/>
                      <w:szCs w:val="21"/>
                      <w:lang w:val="en-US" w:eastAsia="zh-CN"/>
                    </w:rPr>
                  </w:pPr>
                  <w:r>
                    <w:rPr>
                      <w:rFonts w:hint="default" w:eastAsia="仿宋" w:cs="Times New Roman"/>
                      <w:color w:val="auto"/>
                      <w:szCs w:val="21"/>
                      <w:lang w:val="en-US" w:eastAsia="zh-CN"/>
                    </w:rPr>
                    <w:t>1500</w:t>
                  </w:r>
                </w:p>
              </w:tc>
              <w:tc>
                <w:tcPr>
                  <w:tcW w:w="2097" w:type="dxa"/>
                  <w:tcBorders>
                    <w:right w:val="dotted" w:color="auto" w:sz="4" w:space="0"/>
                  </w:tcBorders>
                  <w:vAlign w:val="top"/>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1000</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38" w:type="pct"/>
                  <w:shd w:val="clear" w:color="auto" w:fill="auto"/>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3</w:t>
                  </w:r>
                </w:p>
              </w:tc>
              <w:tc>
                <w:tcPr>
                  <w:tcW w:w="3219" w:type="dxa"/>
                  <w:vAlign w:val="top"/>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综合加工厂</w:t>
                  </w:r>
                </w:p>
              </w:tc>
              <w:tc>
                <w:tcPr>
                  <w:tcW w:w="2088" w:type="dxa"/>
                  <w:vAlign w:val="top"/>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1</w:t>
                  </w:r>
                  <w:r>
                    <w:rPr>
                      <w:rFonts w:hint="default" w:eastAsia="仿宋" w:cs="Times New Roman"/>
                      <w:color w:val="auto"/>
                      <w:szCs w:val="21"/>
                      <w:lang w:val="en-US" w:eastAsia="zh-CN"/>
                    </w:rPr>
                    <w:t>600</w:t>
                  </w:r>
                </w:p>
              </w:tc>
              <w:tc>
                <w:tcPr>
                  <w:tcW w:w="2097" w:type="dxa"/>
                  <w:tcBorders>
                    <w:right w:val="dotted" w:color="auto" w:sz="4" w:space="0"/>
                  </w:tcBorders>
                  <w:vAlign w:val="top"/>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200</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shd w:val="clear" w:color="auto" w:fill="auto"/>
                  <w:vAlign w:val="center"/>
                </w:tcPr>
                <w:p>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4</w:t>
                  </w:r>
                </w:p>
              </w:tc>
              <w:tc>
                <w:tcPr>
                  <w:tcW w:w="3219" w:type="dxa"/>
                  <w:vAlign w:val="top"/>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设备堆存场</w:t>
                  </w:r>
                </w:p>
              </w:tc>
              <w:tc>
                <w:tcPr>
                  <w:tcW w:w="2088" w:type="dxa"/>
                  <w:vAlign w:val="top"/>
                </w:tcPr>
                <w:p>
                  <w:pPr>
                    <w:jc w:val="center"/>
                    <w:rPr>
                      <w:rFonts w:hint="default" w:eastAsia="仿宋" w:cs="Times New Roman"/>
                      <w:color w:val="auto"/>
                      <w:szCs w:val="21"/>
                      <w:lang w:val="en-US" w:eastAsia="zh-CN"/>
                    </w:rPr>
                  </w:pPr>
                  <w:r>
                    <w:rPr>
                      <w:rFonts w:hint="default" w:eastAsia="仿宋" w:cs="Times New Roman"/>
                      <w:color w:val="auto"/>
                      <w:szCs w:val="21"/>
                      <w:lang w:val="en-US" w:eastAsia="zh-CN"/>
                    </w:rPr>
                    <w:t>1300</w:t>
                  </w:r>
                </w:p>
              </w:tc>
              <w:tc>
                <w:tcPr>
                  <w:tcW w:w="2097" w:type="dxa"/>
                  <w:tcBorders>
                    <w:right w:val="dotted" w:color="auto" w:sz="4" w:space="0"/>
                  </w:tcBorders>
                  <w:vAlign w:val="top"/>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tcBorders>
                    <w:top w:val="single" w:color="auto" w:sz="4" w:space="0"/>
                  </w:tcBorders>
                  <w:shd w:val="clear" w:color="auto" w:fill="auto"/>
                  <w:vAlign w:val="center"/>
                </w:tcPr>
                <w:p>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5</w:t>
                  </w:r>
                </w:p>
              </w:tc>
              <w:tc>
                <w:tcPr>
                  <w:tcW w:w="3219" w:type="dxa"/>
                  <w:tcBorders>
                    <w:top w:val="single" w:color="auto" w:sz="4" w:space="0"/>
                  </w:tcBorders>
                  <w:vAlign w:val="top"/>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机械停放场</w:t>
                  </w:r>
                </w:p>
              </w:tc>
              <w:tc>
                <w:tcPr>
                  <w:tcW w:w="2088" w:type="dxa"/>
                  <w:tcBorders>
                    <w:top w:val="single" w:color="auto" w:sz="4" w:space="0"/>
                  </w:tcBorders>
                  <w:vAlign w:val="top"/>
                </w:tcPr>
                <w:p>
                  <w:pPr>
                    <w:jc w:val="center"/>
                    <w:rPr>
                      <w:rFonts w:hint="default" w:eastAsia="仿宋" w:cs="Times New Roman"/>
                      <w:color w:val="auto"/>
                      <w:szCs w:val="21"/>
                      <w:lang w:val="en-US" w:eastAsia="zh-CN"/>
                    </w:rPr>
                  </w:pPr>
                  <w:r>
                    <w:rPr>
                      <w:rFonts w:hint="default" w:eastAsia="仿宋" w:cs="Times New Roman"/>
                      <w:color w:val="auto"/>
                      <w:szCs w:val="21"/>
                      <w:lang w:val="en-US" w:eastAsia="zh-CN"/>
                    </w:rPr>
                    <w:t>200</w:t>
                  </w:r>
                </w:p>
              </w:tc>
              <w:tc>
                <w:tcPr>
                  <w:tcW w:w="2097" w:type="dxa"/>
                  <w:tcBorders>
                    <w:top w:val="single" w:color="auto" w:sz="4" w:space="0"/>
                    <w:right w:val="dotted" w:color="auto" w:sz="4" w:space="0"/>
                  </w:tcBorders>
                  <w:vAlign w:val="top"/>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w:t>
                  </w:r>
                </w:p>
              </w:tc>
              <w:tc>
                <w:tcPr>
                  <w:tcW w:w="3219" w:type="dxa"/>
                  <w:vAlign w:val="top"/>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供水站</w:t>
                  </w:r>
                </w:p>
              </w:tc>
              <w:tc>
                <w:tcPr>
                  <w:tcW w:w="2088" w:type="dxa"/>
                  <w:vAlign w:val="top"/>
                </w:tcPr>
                <w:p>
                  <w:pPr>
                    <w:jc w:val="center"/>
                    <w:rPr>
                      <w:rFonts w:hint="default" w:eastAsia="仿宋" w:cs="Times New Roman"/>
                      <w:color w:val="auto"/>
                      <w:szCs w:val="21"/>
                      <w:lang w:val="en-US" w:eastAsia="zh-CN"/>
                    </w:rPr>
                  </w:pPr>
                  <w:r>
                    <w:rPr>
                      <w:rFonts w:hint="default" w:eastAsia="仿宋" w:cs="Times New Roman"/>
                      <w:color w:val="auto"/>
                      <w:szCs w:val="21"/>
                      <w:lang w:val="en-US" w:eastAsia="zh-CN"/>
                    </w:rPr>
                    <w:t>400</w:t>
                  </w:r>
                </w:p>
              </w:tc>
              <w:tc>
                <w:tcPr>
                  <w:tcW w:w="2097" w:type="dxa"/>
                  <w:tcBorders>
                    <w:right w:val="dotted" w:color="auto" w:sz="4" w:space="0"/>
                  </w:tcBorders>
                  <w:vAlign w:val="top"/>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200</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vAlign w:val="center"/>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7</w:t>
                  </w:r>
                </w:p>
              </w:tc>
              <w:tc>
                <w:tcPr>
                  <w:tcW w:w="193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混凝土拌和站</w:t>
                  </w:r>
                </w:p>
              </w:tc>
              <w:tc>
                <w:tcPr>
                  <w:tcW w:w="2088" w:type="dxa"/>
                  <w:vAlign w:val="top"/>
                </w:tcPr>
                <w:p>
                  <w:pPr>
                    <w:jc w:val="center"/>
                    <w:rPr>
                      <w:rFonts w:hint="eastAsia" w:eastAsia="仿宋" w:cs="Times New Roman"/>
                      <w:color w:val="auto"/>
                      <w:szCs w:val="21"/>
                      <w:lang w:val="en-US" w:eastAsia="zh-CN"/>
                    </w:rPr>
                  </w:pPr>
                  <w:r>
                    <w:rPr>
                      <w:rFonts w:hint="default" w:eastAsia="仿宋" w:cs="Times New Roman"/>
                      <w:color w:val="auto"/>
                      <w:szCs w:val="21"/>
                      <w:lang w:val="en-US" w:eastAsia="zh-CN"/>
                    </w:rPr>
                    <w:t>2000</w:t>
                  </w:r>
                </w:p>
              </w:tc>
              <w:tc>
                <w:tcPr>
                  <w:tcW w:w="1263" w:type="pct"/>
                  <w:tcBorders>
                    <w:right w:val="dotted" w:color="auto" w:sz="4" w:space="0"/>
                  </w:tcBorders>
                  <w:vAlign w:val="center"/>
                </w:tcPr>
                <w:p>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300</w:t>
                  </w:r>
                </w:p>
              </w:tc>
            </w:tr>
            <w:tr>
              <w:tblPrEx>
                <w:tblBorders>
                  <w:top w:val="single" w:color="auto" w:sz="4" w:space="0"/>
                  <w:left w:val="dotted"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pct"/>
                  <w:tcBorders>
                    <w:bottom w:val="single" w:color="auto" w:sz="12" w:space="0"/>
                  </w:tcBorders>
                  <w:vAlign w:val="center"/>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8</w:t>
                  </w:r>
                </w:p>
              </w:tc>
              <w:tc>
                <w:tcPr>
                  <w:tcW w:w="1939" w:type="pct"/>
                  <w:tcBorders>
                    <w:bottom w:val="single" w:color="auto" w:sz="12"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2088" w:type="dxa"/>
                  <w:tcBorders>
                    <w:bottom w:val="single" w:color="auto" w:sz="12" w:space="0"/>
                  </w:tcBorders>
                  <w:vAlign w:val="top"/>
                </w:tcPr>
                <w:p>
                  <w:pPr>
                    <w:jc w:val="center"/>
                    <w:rPr>
                      <w:rFonts w:hint="eastAsia" w:eastAsia="仿宋" w:cs="Times New Roman"/>
                      <w:color w:val="auto"/>
                      <w:szCs w:val="21"/>
                      <w:lang w:val="en-US" w:eastAsia="zh-CN"/>
                    </w:rPr>
                  </w:pPr>
                  <w:r>
                    <w:rPr>
                      <w:rFonts w:hint="default" w:eastAsia="仿宋" w:cs="Times New Roman"/>
                      <w:color w:val="auto"/>
                      <w:szCs w:val="21"/>
                      <w:lang w:val="en-US" w:eastAsia="zh-CN"/>
                    </w:rPr>
                    <w:t>8000</w:t>
                  </w:r>
                </w:p>
              </w:tc>
              <w:tc>
                <w:tcPr>
                  <w:tcW w:w="1263" w:type="pct"/>
                  <w:tcBorders>
                    <w:bottom w:val="single" w:color="auto" w:sz="12" w:space="0"/>
                    <w:right w:val="dotted" w:color="auto" w:sz="4" w:space="0"/>
                  </w:tcBorders>
                  <w:vAlign w:val="center"/>
                </w:tcPr>
                <w:p>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2100</w:t>
                  </w:r>
                </w:p>
              </w:tc>
            </w:tr>
          </w:tbl>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③风电场对外交通运输</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华润南江大河50MW风电项目位于兴马镇乡镇东南侧区域，场区附近有高速G85、国道G502、县道XY29通过，对外交通相对便利。</w:t>
            </w:r>
          </w:p>
          <w:p>
            <w:pPr>
              <w:adjustRightInd w:val="0"/>
              <w:snapToGrid w:val="0"/>
              <w:spacing w:line="360" w:lineRule="auto"/>
              <w:ind w:firstLine="480" w:firstLineChars="200"/>
              <w:rPr>
                <w:rFonts w:hint="eastAsia" w:ascii="Times New Roman" w:hAnsi="Times New Roman" w:eastAsia="仿宋" w:cs="Times New Roman"/>
                <w:color w:val="auto"/>
                <w:kern w:val="0"/>
                <w:sz w:val="24"/>
                <w:lang w:eastAsia="zh-CN"/>
              </w:rPr>
            </w:pPr>
            <w:r>
              <w:rPr>
                <w:rFonts w:hint="default" w:ascii="Times New Roman" w:hAnsi="Times New Roman" w:eastAsia="仿宋" w:cs="Times New Roman"/>
                <w:color w:val="auto"/>
                <w:kern w:val="0"/>
                <w:sz w:val="24"/>
              </w:rPr>
              <w:t>本工程风电设备的运输，初步计划可通过全国高速公路网干线至银昆高速G85，由南江县收费站下高速进入县道XY29线，再通过XY29到达兴马镇后转入乡镇道路后接入到风电场区新建道路上，详细如下：全国高速公路网干线→银昆高速G85南江县收费站→阳光街→东河路→XY29→兴马镇→风电场北侧场内道路入口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1" w:hRule="atLeast"/>
          <w:jc w:val="center"/>
        </w:trPr>
        <w:tc>
          <w:tcPr>
            <w:tcW w:w="564"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施工方案</w:t>
            </w:r>
          </w:p>
        </w:tc>
        <w:tc>
          <w:tcPr>
            <w:tcW w:w="8526" w:type="dxa"/>
            <w:vAlign w:val="center"/>
          </w:tcPr>
          <w:p>
            <w:pPr>
              <w:numPr>
                <w:ilvl w:val="0"/>
                <w:numId w:val="3"/>
              </w:numPr>
              <w:adjustRightInd w:val="0"/>
              <w:snapToGrid w:val="0"/>
              <w:spacing w:line="360" w:lineRule="auto"/>
              <w:rPr>
                <w:rFonts w:hint="default" w:ascii="Times New Roman" w:hAnsi="Times New Roman" w:eastAsia="仿宋" w:cs="Times New Roman"/>
                <w:b/>
                <w:color w:val="auto"/>
                <w:kern w:val="0"/>
                <w:sz w:val="24"/>
                <w:lang w:val="en-US" w:eastAsia="zh-CN"/>
              </w:rPr>
            </w:pPr>
            <w:r>
              <w:rPr>
                <w:rFonts w:hint="default" w:ascii="Times New Roman" w:hAnsi="Times New Roman" w:eastAsia="仿宋" w:cs="Times New Roman"/>
                <w:b/>
                <w:color w:val="auto"/>
                <w:kern w:val="0"/>
                <w:sz w:val="24"/>
                <w:lang w:val="en-US" w:eastAsia="zh-CN"/>
              </w:rPr>
              <w:t>施工方案</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1.1风机安装工程</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风机区施工主要包括安装平台施工、风力发电机组基础施工、风力发电机组安装。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（1）安装平台施工</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风电机组安装平台施工主要为土方填筑及碾压，填筑区土料要碾压密实。采用20t自卸汽车从风机附近土料场运送土料至填筑区，160kW推土机推平后，16t振动碾碾压，边角部位用1.0t手扶式振动碾碾压，斜坡采用10t牵引式斜坡振动碾碾压。碾压的施工参数，由现场根据碾压试验后填土料的密实度确定。安装平台施工与道路施工相同。</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（2）风力发电机组基础施工</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风机基础施工主要工艺流程如下：钻孔灌注桩施工→基础开挖（包括降水措施）→泥浆制备→护筒埋设→钻孔→吊装钢筋笼→浇筑混凝土→破桩头→承台浇筑→浇筑仓面准备（立模、绑钢筋、埋管等）→质检及仓面验收→混凝土入仓→平仓振捣→养护→拆模→质量检查→修补缺陷→土方回填。</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1）桩基施工</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①桩基试验</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本工程风机基础桩基应在施工前进行承载力试验，试验包括竖向抗压、竖向抗拉和水平承载力试验。试验桩数量为总桩数的1%，且不小于3根。</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②桩基施工</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在已平整好的场地上准确放样出桩位中心点，然后在测定桩位上吊放钢护筒；采用钻机造孔，按设计要求成孔，泥浆护壁并随时检查浆液比重是否符合设计或技术规范的规定；成孔后吊装钢筋笼，而后进行混凝土浆液灌注；灌注混凝土达到设计强度后，方可拆除护筒。</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灌注桩施工时需要泥浆护壁，泥浆池设置在风机基础旁边，泥浆池体积约1000~1500m</w:t>
            </w:r>
            <w:r>
              <w:rPr>
                <w:rFonts w:hint="default" w:ascii="Times New Roman" w:hAnsi="Times New Roman" w:eastAsia="仿宋" w:cs="Times New Roman"/>
                <w:color w:val="auto"/>
                <w:kern w:val="0"/>
                <w:sz w:val="24"/>
                <w:vertAlign w:val="superscript"/>
                <w:lang w:val="en-US" w:eastAsia="zh-CN"/>
              </w:rPr>
              <w:t>3</w:t>
            </w:r>
            <w:r>
              <w:rPr>
                <w:rFonts w:hint="default" w:ascii="Times New Roman" w:hAnsi="Times New Roman" w:eastAsia="仿宋" w:cs="Times New Roman"/>
                <w:color w:val="auto"/>
                <w:kern w:val="0"/>
                <w:sz w:val="24"/>
                <w:lang w:val="en-US" w:eastAsia="zh-CN"/>
              </w:rPr>
              <w:t>，施工完成后泥浆需要运出。</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2）基础开挖</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基础开挖前，按照图纸要求进行测量、放线，准确定位后进行土石方开挖。基础土石方开挖采用推土机或反铲分层剥离，尽量避免基底土方扰动，基坑底部留30cm保护层，采用人工开挖。基坑开挖以钢筋混凝土结构尺寸每边各加宽1.0m，为防止脱落土石滑下影响施工，开挖按1∶1.25放坡，风机基础混凝土强度C40。</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基础开挖过程中，首先采用小型挖掘机，配合推土机进行表层土的清理，人工修整基坑边坡；底层石方开挖采用手风钻钻孔爆破，挖掘机配合装载机开挖，沿坑槽周边堆放，部分土石方装自卸汽车运输用于整理场地，人工修整开挖边坡。开挖完工后，应清理干净，进行基槽验收，再浇筑厚度100mm的C15混凝土垫层。</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3）基坑降水</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根据降水施工特点及场地水文地质条件，采用管井井点降水方法，易于运行和管理。同时考虑由于对水文地质参数掌握不够准确等不确定因素的影响，当水位降深达不到设计要求时，应采取明排措施，以保证降水一次性成功，确保基础工程施工顺利进行。将地下水降至基坑垫层底1000~1500mm处以下，确保基坑边坡的稳定性和施工的安全性。为及时掌握基坑内水位降深情况，在基坑内选择适当位置观测水位，一般降水开始5天后，可满足基础开挖要求。</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4）钢筋绑扎</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风电机组基础主要受力钢筋为HRB400E钢筋，直径大部分为16mm～28mm之间。为保证基础在动荷载下的承载力，基础主梁上部纵向主筋需采用一根钢筋加工而成，不能焊接也不能绑扎连接；对22≥直径≥16的钢筋，宜采用闪光对接头焊；对于直径≥25的钢筋，宜采用直螺纹机械连接；环形等钢筋需要现场封闭连接时，一律采用绑扎搭接，搭接长度为35d，不得在现场搭接焊；同一截面内接头面积应小于钢筋总面积的25%，连接区段的长度为45d（d为纵向受力钢筋的较大直径者）。当直螺纹机械连接钢筋接头的性能指标能够达到规范要求的情况时，不同直径的钢筋可优先采用直螺纹机械连接。</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钢筋焊接需要按规范进行抗拉试验，并且每层进行焊接接头外观检查验收，若发现焊接质量不合格，则需要在焊接处绑扎接头钢筋，长度为35d+35d，其中d为钢筋的直径，现场不得采用焊接接头。</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5）混凝土浇筑</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为保证基础的整体性，要求整个基础一次浇筑完成，不留施工缝。混凝土施工中应用测量仪器经常测量，以保证基础埋筒的上法兰平整度为±2mm的精度要求。基础混凝土采用分层浇筑，每层厚度30cm左右，为避免出现冷缝，上下两层混凝土浇筑时间间隔不大于下层混凝土初凝时间以前1小时，单个基础混凝土浇筑时间不超过10个小时，混凝土最大浇筑强度将达到60m</w:t>
            </w:r>
            <w:r>
              <w:rPr>
                <w:rFonts w:hint="default" w:ascii="Times New Roman" w:hAnsi="Times New Roman" w:eastAsia="仿宋" w:cs="Times New Roman"/>
                <w:color w:val="auto"/>
                <w:kern w:val="0"/>
                <w:sz w:val="24"/>
                <w:vertAlign w:val="superscript"/>
                <w:lang w:val="en-US" w:eastAsia="zh-CN"/>
              </w:rPr>
              <w:t>3</w:t>
            </w:r>
            <w:r>
              <w:rPr>
                <w:rFonts w:hint="default" w:ascii="Times New Roman" w:hAnsi="Times New Roman" w:eastAsia="仿宋" w:cs="Times New Roman"/>
                <w:color w:val="auto"/>
                <w:kern w:val="0"/>
                <w:sz w:val="24"/>
                <w:lang w:val="en-US" w:eastAsia="zh-CN"/>
              </w:rPr>
              <w:t>/h。</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为满足混凝土浇筑强度、保证浇筑质量，基础混凝土拟采用混凝土泵车入仓。本工程混凝土入仓以水平运输为主，垂直运输不高，因此采用25m混凝土泵车。25m混凝土泵车自重19t，理论泵送量为100m</w:t>
            </w:r>
            <w:r>
              <w:rPr>
                <w:rFonts w:hint="default" w:ascii="Times New Roman" w:hAnsi="Times New Roman" w:eastAsia="仿宋" w:cs="Times New Roman"/>
                <w:color w:val="auto"/>
                <w:kern w:val="0"/>
                <w:sz w:val="24"/>
                <w:vertAlign w:val="superscript"/>
                <w:lang w:val="en-US" w:eastAsia="zh-CN"/>
              </w:rPr>
              <w:t>3</w:t>
            </w:r>
            <w:r>
              <w:rPr>
                <w:rFonts w:hint="default" w:ascii="Times New Roman" w:hAnsi="Times New Roman" w:eastAsia="仿宋" w:cs="Times New Roman"/>
                <w:color w:val="auto"/>
                <w:kern w:val="0"/>
                <w:sz w:val="24"/>
                <w:lang w:val="en-US" w:eastAsia="zh-CN"/>
              </w:rPr>
              <w:t>/h，可满足本工程的混凝土浇筑强度。</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另外为保证混凝土的浇筑质量，混凝土在冬季浇筑时需做好防冻保温措施。开挖后的基坑底部应采取铺设草包，混凝土浇筑时采用麻袋覆盖加温或用蒸汽加热等方法加热和保温，另外必要时可在混凝土中添加早强剂和防冻剂。</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6）混凝土养护</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混凝土拆模后，其表面不得留有非设计需要的螺栓、拉杆、铁钉等铁件，对于施工需要而外露的铁件（包括模板支架、模板拉筋等）均需将外露部分割除，然后在外面回填土石料，要求回填密度大于1.8t/m</w:t>
            </w:r>
            <w:r>
              <w:rPr>
                <w:rFonts w:hint="default" w:ascii="Times New Roman" w:hAnsi="Times New Roman" w:eastAsia="仿宋" w:cs="Times New Roman"/>
                <w:color w:val="auto"/>
                <w:kern w:val="0"/>
                <w:sz w:val="24"/>
                <w:vertAlign w:val="superscript"/>
                <w:lang w:val="en-US" w:eastAsia="zh-CN"/>
              </w:rPr>
              <w:t>3</w:t>
            </w:r>
            <w:r>
              <w:rPr>
                <w:rFonts w:hint="default" w:ascii="Times New Roman" w:hAnsi="Times New Roman" w:eastAsia="仿宋" w:cs="Times New Roman"/>
                <w:color w:val="auto"/>
                <w:kern w:val="0"/>
                <w:sz w:val="24"/>
                <w:lang w:val="en-US" w:eastAsia="zh-CN"/>
              </w:rPr>
              <w:t>，填至风机基础顶面下3cm，并设置2%的排水坡度。</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混凝土浇筑完毕后，应及时加以覆盖保温保湿（一层塑料薄膜在下，两层工业毯在上，每层工业毯厚度10mm，工业毯总厚度20mm），5天后去除塑料薄膜，再重新盖上两层工业毯，避免太阳暴晒。混凝土养护时间应大于14天，混凝土龄期28天后才允许安装上部塔架。</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（3）风电机组安装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本风电场共装有</w:t>
            </w:r>
            <w:r>
              <w:rPr>
                <w:rFonts w:hint="eastAsia" w:eastAsia="仿宋" w:cs="Times New Roman"/>
                <w:color w:val="auto"/>
                <w:kern w:val="0"/>
                <w:sz w:val="24"/>
                <w:lang w:val="en-US" w:eastAsia="zh-CN"/>
              </w:rPr>
              <w:t>10台</w:t>
            </w:r>
            <w:r>
              <w:rPr>
                <w:rFonts w:hint="default" w:ascii="Times New Roman" w:hAnsi="Times New Roman" w:eastAsia="仿宋" w:cs="Times New Roman"/>
                <w:color w:val="auto"/>
                <w:kern w:val="0"/>
                <w:sz w:val="24"/>
                <w:lang w:val="en-US" w:eastAsia="zh-CN"/>
              </w:rPr>
              <w:t>风电机组，风机轮毂中心高度为</w:t>
            </w:r>
            <w:r>
              <w:rPr>
                <w:rFonts w:hint="eastAsia" w:eastAsia="仿宋" w:cs="Times New Roman"/>
                <w:color w:val="auto"/>
                <w:kern w:val="0"/>
                <w:sz w:val="24"/>
                <w:lang w:val="en-US" w:eastAsia="zh-CN"/>
              </w:rPr>
              <w:t>115m</w:t>
            </w:r>
            <w:r>
              <w:rPr>
                <w:rFonts w:hint="default" w:ascii="Times New Roman" w:hAnsi="Times New Roman" w:eastAsia="仿宋" w:cs="Times New Roman"/>
                <w:color w:val="auto"/>
                <w:kern w:val="0"/>
                <w:sz w:val="24"/>
                <w:lang w:val="en-US" w:eastAsia="zh-CN"/>
              </w:rPr>
              <w:t>，叶轮直径为</w:t>
            </w:r>
            <w:r>
              <w:rPr>
                <w:rFonts w:hint="eastAsia" w:eastAsia="仿宋" w:cs="Times New Roman"/>
                <w:color w:val="auto"/>
                <w:kern w:val="0"/>
                <w:sz w:val="24"/>
                <w:lang w:val="en-US" w:eastAsia="zh-CN"/>
              </w:rPr>
              <w:t>200</w:t>
            </w:r>
            <w:r>
              <w:rPr>
                <w:rFonts w:hint="default" w:ascii="Times New Roman" w:hAnsi="Times New Roman" w:eastAsia="仿宋" w:cs="Times New Roman"/>
                <w:color w:val="auto"/>
                <w:kern w:val="0"/>
                <w:sz w:val="24"/>
                <w:lang w:val="en-US" w:eastAsia="zh-CN"/>
              </w:rPr>
              <w:t>m。最长件为风机叶片，长度约</w:t>
            </w:r>
            <w:r>
              <w:rPr>
                <w:rFonts w:hint="eastAsia" w:eastAsia="仿宋" w:cs="Times New Roman"/>
                <w:color w:val="auto"/>
                <w:kern w:val="0"/>
                <w:sz w:val="24"/>
                <w:lang w:val="en-US" w:eastAsia="zh-CN"/>
              </w:rPr>
              <w:t>100</w:t>
            </w:r>
            <w:r>
              <w:rPr>
                <w:rFonts w:hint="default" w:ascii="Times New Roman" w:hAnsi="Times New Roman" w:eastAsia="仿宋" w:cs="Times New Roman"/>
                <w:color w:val="auto"/>
                <w:kern w:val="0"/>
                <w:sz w:val="24"/>
                <w:lang w:val="en-US" w:eastAsia="zh-CN"/>
              </w:rPr>
              <w:t>m，安装起吊的最大高度约160m。</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1）准备工作</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现场吊装前的准备工作是保证吊装质量、安全、进度的重要环节，必须十分重视。准备工作通常包括以下几点：</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1.全面熟悉风力发电机组各吊装部件的有关资料。如机组的总图、各吊装部件的数量、重量、体积、需吊装的高度、各部件的拼接方式等。</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2.由制造厂运输到安装现场的各安装部件和零件在吊装前需进行检查。检查的内容有：a、各安装部件和零件的规格和数量是否齐全，若缺少应立即补齐。b、是否发生运输变形或损坏。若损坏应修复、若变形则应按设计要求予以矫正。c、将所有安装部件和零件表面的泥土和油污清除干净。</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3.基础及基础段的检查：</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基础不论是现浇还是预制，在吊装前，除了查阅基础验收记录外，对其结构、坐标、水平面等应进行详细的检查，是否符合设计要求。并将基础段内的残留物清除干净，不得有任何杂物。</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吊装安装措施：</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1.吊装施工时间要尽量安排在风速不大的季节进行。吊装塔身下段、中段时风速不得大于12m/s。吊装塔身上段、机舱时风速不得大于8m/s。吊装轮毂和叶片时风速不得大于6m/s。</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2.有大雾、能见度低于100m时不得进行吊装。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3.塔身上段与机舱要连续安装，当天完成，避免夜间停工期间刮起大风造成设备损坏。</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4.施工人员必须具有相关施工的资格操作证书并严格遵守电力工程施工安全规程要求。</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2）主吊设备选择</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根据已建风电工程风机吊装经验及总进度安排，初步选择两套起吊设备进行安装。主吊设备采用1200t汽车吊，辅吊采用150t汽车式起重机。</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3）塔筒安装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本工程共安装塔筒</w:t>
            </w:r>
            <w:r>
              <w:rPr>
                <w:rFonts w:hint="eastAsia" w:eastAsia="仿宋" w:cs="Times New Roman"/>
                <w:color w:val="auto"/>
                <w:kern w:val="0"/>
                <w:sz w:val="24"/>
                <w:lang w:val="en-US" w:eastAsia="zh-CN"/>
              </w:rPr>
              <w:t>10</w:t>
            </w:r>
            <w:r>
              <w:rPr>
                <w:rFonts w:hint="default" w:ascii="Times New Roman" w:hAnsi="Times New Roman" w:eastAsia="仿宋" w:cs="Times New Roman"/>
                <w:color w:val="auto"/>
                <w:kern w:val="0"/>
                <w:sz w:val="24"/>
                <w:lang w:val="en-US" w:eastAsia="zh-CN"/>
              </w:rPr>
              <w:t>套，塔筒为混塔架，上部为钢塔架，下部为预制混凝土环片。</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塔筒采用分段吊装，下塔筒就位后，需进行二次灌浆，养护期满后才能进入下一个吊装工序。安装完塔筒后再吊装发电机机舱，然后再吊装叶轮组件。塔筒由五部分组成，每两部分之间用法兰盘连接。塔筒分段运输至现场后，在现场将塔筒内的配件安装后，方可进行塔筒吊装。在现场保存时应注意放置于硬木上，并防止其滚动，存放场地应尽可能平整无斜坡。必须在现场检查塔筒及其配件在运输中是否损坏，任何外表的损伤都应立即修补。</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基础混凝土终凝后，在塔筒安装前检查基座，采用水准仪校正基座的平整度，确保在整个安装过程中的施工安全及施工质量。设备吊装高度处，吊装塔筒时最高风速小于10m/s，吊装叶片时最高风速小于6m/s。</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用大型运输车辆将五节塔筒由制造厂运输到安装现场，摆放在吊车的旋转起吊半径范围内。塔筒的两端用方木垫起，并将塔筒的两侧固定好，防止塔筒发生滚动。</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塔筒在吊装前要将电源控制柜、塔筒内需布设的电缆及结构配件全部在塔筒内固定完毕。每节塔筒采用双机抬吊，三节塔筒分别由下至上逐节安装，调整好位置后，再将螺栓紧固。</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4）机组吊装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风电机组吊装应在厂家专门技术人员的指导下进行，安装过程如下：</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①施工准备</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由于风电机组安装工作由大、小两台吊车联合作业，为了保证吊车吊臂在起吊过程中不碰到塔筒，应保证起重机吊装时有足够的吊装工作空间，在进场公路旁应有存放零配件或小型吊车的足够场地。</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②机舱的安装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吊装机舱前，要将主吊车停在旋转起吊允许半径范围内，按照厂家技术文件要求，将机舱的三个吊点专用工具与吊车的吊钩固定好。并将人拉风绳在机舱两侧固定好后，保持机舱底部的偏航轴承下面处于水平位置。先将机舱吊离地面10～20cm，检查吊车的稳定性、制动器的可靠性和绑扎点的牢固性。待上述工作完成并检查无误后，方可起吊。</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提升过程中，应保持机舱水平，如果产生较大的倾斜，应将机舱重新放下，矫正后再起吊。</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安装机舱时，需2名装配人员站在塔筒平台上，机舱由吊车提升，并由人工牵引风绳，应绝对禁止机舱与吊车及塔筒发生碰撞。机舱与塔筒顶法兰在空中进行对接，机舱慢慢落下时，可用螺栓与垫圈先将后面固定，然后将所有螺栓拧上。完成以上步骤后，继续缓慢落下机舱，但应使吊钩保持一定拉力。</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机舱完全坐在塔筒法兰盘上，以保证制动垫圈位于塔筒法兰盘的中心。当所有螺栓紧固力矩达到要求后，方可将吊车和提升装置移走。</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③叶片安装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风轮组装需要在吊装机舱前完成。在地面上将三个叶片与轮毂连接好，并调好叶片安装角。</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叶片和轮毂安装前，应注意：在运输时，为了防止叶片与地面的接触，应使用运输支架将其固定。每个叶片的排列之间必须保证相隔足够的距离，特别是叶尖与车板面之间至少距离40cm。</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风速是影响风电机组安装的主要因素，设备吊装高度处，吊装塔筒时最高风速小于10m/s，吊装叶片时最高风速小于6m/s。</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必须对叶片和轮毂进行全面的检查，以查明其在运输过程中有否损坏。禁止不经全面检查就直接安装叶片。在叶片和轮毂安装前，还应对叶片法兰和轮毂法兰进行清洗。按照技术文件要求，在每支叶片的中部用可调整支架将叶片支撑起来，然后进行调整和组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安装时采用2台吊车（1台主吊为1200t汽车吊，1台辅吊为150t汽车式起重机）“抬吊”，并由主吊车吊住上扬的两个叶片的叶根，完成空中90°翻身调向，撤开副吊后与已安装好在塔筒顶上的机舱风轮轴对接。吊装叶片和轮毂时，为了避免叶片在提升过程中摆动，采用圆环绳索分别套住三片叶片，3～6名装配人员在地面上拉住。叶片在提升过程中，禁止叶片与吊车、塔筒、机舱发生碰撞，应确保绳索不相互缠绕。安装结束后可将叶片的安装附件移走，并清理安装现场。</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4）混凝土塔筒的运输及安装</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为方便混凝土塔筒运输，塔筒预制场宜建设在风场附近，预制场与风机机位点的最远距离建议不超过20km。</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运输路线根据装载后车组的长、宽、高，并综合考察路面坡度、路面的转弯半径（U、S形弯）、桥梁、立交桥、涵洞、岩石凸起、公路牌坊、过街水管、高空电线电缆等影响运输的因素来确定。需根据超长、超高（直径最大8米）混塔运输经验，通过科学配置和改造车辆，合理安排运输线路，有机协调交警、路政部门关系，安全地组织风场混塔大件运输任务。</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据本项目运输技术条件的要求，牵引车选用重型牵引车可以满足运输需求,牵引车具有功率大，扭矩大，牵引力大，车架为高强度钢材，双U型纵梁，开放式横梁，具有重量轻，抗弯折强度高，同时扭曲弹性好，附着力大等特点。操纵方便，稳定性好，安全性高，采用双回路压缩空气制动、发动机废气制动、和驻车制动为行驶安全提供三重保险。</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在正常情况下，单台吊车每天可吊装混凝土段8节。混凝土节吊装完成后，安装钢绞线并进行预应力张拉工作。综合考虑各项工作，每台塔筒从首节混凝土段到钢绞线张拉完毕吊的标准工期为6天。</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吊装机位处堆放占用面积：</w:t>
            </w:r>
            <w:r>
              <w:rPr>
                <w:rFonts w:hint="eastAsia" w:eastAsia="仿宋" w:cs="Times New Roman"/>
                <w:color w:val="auto"/>
                <w:kern w:val="0"/>
                <w:sz w:val="24"/>
                <w:lang w:val="en-US" w:eastAsia="zh-CN"/>
              </w:rPr>
              <w:t>40</w:t>
            </w:r>
            <w:r>
              <w:rPr>
                <w:rFonts w:hint="default" w:ascii="Times New Roman" w:hAnsi="Times New Roman" w:eastAsia="仿宋" w:cs="Times New Roman"/>
                <w:color w:val="auto"/>
                <w:kern w:val="0"/>
                <w:sz w:val="24"/>
                <w:lang w:val="en-US" w:eastAsia="zh-CN"/>
              </w:rPr>
              <w:t>×60m，用于堆放各类尺寸预制筒节。</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线电缆等影响运输的因素来确定。需根据超长、超高（直径最大8米）混塔运输经验，通过科学配置和改造车辆，合理安排运输线路，有机协调交警、路政部门关系，安全地组织风场混塔大件运输任务。</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据本项目运输技术条件的要求，牵引车选用重型牵引车可以满足运输需求,牵引车具有功率大，扭矩大，牵引力大，车架为高强度钢材，双U型纵梁，开放式横梁，具有重量轻，抗弯折强度高，同时扭曲弹性好，附着力大等特点。操纵方便，稳定性好，安全性高，采用双回路压缩空气制动、发动机废气制动、和驻车制动为行驶安全提供三重保险。</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在正常情况下，单台吊车每天可吊装混凝土段8节。混凝土节吊装完成后，安装钢绞线并进行预应力张拉工作。综合考虑各项工作，每台塔筒从首节混凝土段到钢绞线张拉完毕吊的标准工期为6天。</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rPr>
              <w:t>吊装机位处堆放占用面积：</w:t>
            </w:r>
            <w:r>
              <w:rPr>
                <w:rFonts w:hint="eastAsia" w:eastAsia="仿宋" w:cs="Times New Roman"/>
                <w:color w:val="auto"/>
                <w:kern w:val="0"/>
                <w:sz w:val="24"/>
                <w:lang w:val="en-US" w:eastAsia="zh-CN"/>
              </w:rPr>
              <w:t>40</w:t>
            </w:r>
            <w:r>
              <w:rPr>
                <w:rFonts w:hint="default" w:ascii="Times New Roman" w:hAnsi="Times New Roman" w:eastAsia="仿宋" w:cs="Times New Roman"/>
                <w:color w:val="auto"/>
                <w:kern w:val="0"/>
                <w:sz w:val="24"/>
              </w:rPr>
              <w:t>×60m，用于堆放各类尺寸预制筒节。</w:t>
            </w:r>
          </w:p>
          <w:p>
            <w:pPr>
              <w:adjustRightInd w:val="0"/>
              <w:snapToGrid w:val="0"/>
              <w:spacing w:line="360" w:lineRule="auto"/>
              <w:ind w:left="0" w:leftChars="0" w:firstLine="0" w:firstLineChars="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mc:AlternateContent>
                <mc:Choice Requires="wpg">
                  <w:drawing>
                    <wp:inline distT="0" distB="0" distL="114300" distR="114300">
                      <wp:extent cx="3186430" cy="2770505"/>
                      <wp:effectExtent l="12700" t="0" r="20320" b="17145"/>
                      <wp:docPr id="18" name="组合 18"/>
                      <wp:cNvGraphicFramePr/>
                      <a:graphic xmlns:a="http://schemas.openxmlformats.org/drawingml/2006/main">
                        <a:graphicData uri="http://schemas.microsoft.com/office/word/2010/wordprocessingGroup">
                          <wpg:wgp>
                            <wpg:cNvGrpSpPr/>
                            <wpg:grpSpPr>
                              <a:xfrm>
                                <a:off x="0" y="0"/>
                                <a:ext cx="3186430" cy="2770505"/>
                                <a:chOff x="0" y="0"/>
                                <a:chExt cx="5017" cy="4362"/>
                              </a:xfrm>
                            </wpg:grpSpPr>
                            <pic:pic xmlns:pic="http://schemas.openxmlformats.org/drawingml/2006/picture">
                              <pic:nvPicPr>
                                <pic:cNvPr id="9" name="图片 3"/>
                                <pic:cNvPicPr>
                                  <a:picLocks noChangeAspect="1"/>
                                </pic:cNvPicPr>
                              </pic:nvPicPr>
                              <pic:blipFill>
                                <a:blip r:embed="rId19"/>
                                <a:stretch>
                                  <a:fillRect/>
                                </a:stretch>
                              </pic:blipFill>
                              <pic:spPr>
                                <a:xfrm>
                                  <a:off x="31" y="31"/>
                                  <a:ext cx="4957" cy="4302"/>
                                </a:xfrm>
                                <a:prstGeom prst="rect">
                                  <a:avLst/>
                                </a:prstGeom>
                                <a:noFill/>
                                <a:ln>
                                  <a:noFill/>
                                </a:ln>
                              </pic:spPr>
                            </pic:pic>
                            <wps:wsp>
                              <wps:cNvPr id="13" name="文本框 13"/>
                              <wps:cNvSpPr txBox="1"/>
                              <wps:spPr>
                                <a:xfrm>
                                  <a:off x="-20" y="-20"/>
                                  <a:ext cx="5057" cy="4402"/>
                                </a:xfrm>
                                <a:prstGeom prst="rect">
                                  <a:avLst/>
                                </a:prstGeom>
                                <a:noFill/>
                                <a:ln>
                                  <a:noFill/>
                                </a:ln>
                              </wps:spPr>
                              <wps:txbx>
                                <w:txbxContent>
                                  <w:p>
                                    <w:pPr>
                                      <w:spacing w:line="20" w:lineRule="exact"/>
                                    </w:pPr>
                                  </w:p>
                                  <w:tbl>
                                    <w:tblPr>
                                      <w:tblStyle w:val="83"/>
                                      <w:tblW w:w="4987"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0" w:type="dxa"/>
                                        <w:bottom w:w="0" w:type="dxa"/>
                                        <w:right w:w="0" w:type="dxa"/>
                                      </w:tblCellMar>
                                    </w:tblPr>
                                    <w:tblGrid>
                                      <w:gridCol w:w="4987"/>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302" w:hRule="atLeast"/>
                                      </w:trPr>
                                      <w:tc>
                                        <w:tcPr>
                                          <w:tcW w:w="4987" w:type="dxa"/>
                                          <w:vAlign w:val="top"/>
                                        </w:tcPr>
                                        <w:p>
                                          <w:pPr>
                                            <w:rPr>
                                              <w:rFonts w:ascii="Arial"/>
                                              <w:sz w:val="21"/>
                                            </w:rPr>
                                          </w:pPr>
                                        </w:p>
                                      </w:tc>
                                    </w:tr>
                                  </w:tbl>
                                  <w:p>
                                    <w:pPr>
                                      <w:rPr>
                                        <w:rFonts w:ascii="Arial"/>
                                        <w:sz w:val="21"/>
                                      </w:rPr>
                                    </w:pPr>
                                  </w:p>
                                </w:txbxContent>
                              </wps:txbx>
                              <wps:bodyPr lIns="0" tIns="0" rIns="0" bIns="0" upright="1"/>
                            </wps:wsp>
                          </wpg:wgp>
                        </a:graphicData>
                      </a:graphic>
                    </wp:inline>
                  </w:drawing>
                </mc:Choice>
                <mc:Fallback>
                  <w:pict>
                    <v:group id="_x0000_s1026" o:spid="_x0000_s1026" o:spt="203" style="height:218.15pt;width:250.9pt;" coordsize="5017,4362" o:gfxdata="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">
                      <o:lock v:ext="edit" aspectratio="f"/>
                      <v:shape id="图片 3" o:spid="_x0000_s1026" o:spt="75" type="#_x0000_t75" style="position:absolute;left:31;top:31;height:4302;width:4957;" filled="f" o:preferrelative="t" stroked="f" coordsize="21600,21600" o:gfxdata="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3UsugAAANoA&#10;AAAPAAAAAAAAAAEAIAAAACIAAABkcnMvZG93bnJldi54bWxQSwECFAAUAAAACACHTuJAMy8FnjsA&#10;AAA5AAAAEAAAAAAAAAABACAAAAAJAQAAZHJzL3NoYXBleG1sLnhtbFBLBQYAAAAABgAGAFsBAACz&#10;AwAAAAA=&#10;">
                        <v:fill on="f" focussize="0,0"/>
                        <v:stroke on="f"/>
                        <v:imagedata r:id="rId19" o:title=""/>
                        <o:lock v:ext="edit" aspectratio="t"/>
                      </v:shape>
                      <v:shape id="_x0000_s1026" o:spid="_x0000_s1026" o:spt="202" type="#_x0000_t202" style="position:absolute;left:-20;top:-20;height:4402;width:5057;"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 w:lineRule="exact"/>
                              </w:pPr>
                            </w:p>
                            <w:tbl>
                              <w:tblPr>
                                <w:tblStyle w:val="83"/>
                                <w:tblW w:w="4987"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0" w:type="dxa"/>
                                  <w:bottom w:w="0" w:type="dxa"/>
                                  <w:right w:w="0" w:type="dxa"/>
                                </w:tblCellMar>
                              </w:tblPr>
                              <w:tblGrid>
                                <w:gridCol w:w="4987"/>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302" w:hRule="atLeast"/>
                                </w:trPr>
                                <w:tc>
                                  <w:tcPr>
                                    <w:tcW w:w="4987" w:type="dxa"/>
                                    <w:vAlign w:val="top"/>
                                  </w:tcPr>
                                  <w:p>
                                    <w:pPr>
                                      <w:rPr>
                                        <w:rFonts w:ascii="Arial"/>
                                        <w:sz w:val="21"/>
                                      </w:rPr>
                                    </w:pPr>
                                  </w:p>
                                </w:tc>
                              </w:tr>
                            </w:tbl>
                            <w:p>
                              <w:pPr>
                                <w:rPr>
                                  <w:rFonts w:ascii="Arial"/>
                                  <w:sz w:val="21"/>
                                </w:rPr>
                              </w:pPr>
                            </w:p>
                          </w:txbxContent>
                        </v:textbox>
                      </v:shape>
                      <w10:wrap type="none"/>
                      <w10:anchorlock/>
                    </v:group>
                  </w:pict>
                </mc:Fallback>
              </mc:AlternateContent>
            </w:r>
          </w:p>
          <w:p>
            <w:pPr>
              <w:adjustRightInd w:val="0"/>
              <w:snapToGrid w:val="0"/>
              <w:spacing w:line="360" w:lineRule="auto"/>
              <w:ind w:firstLine="482" w:firstLineChars="200"/>
              <w:jc w:val="center"/>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b/>
                <w:bCs/>
                <w:color w:val="auto"/>
                <w:kern w:val="0"/>
                <w:sz w:val="24"/>
              </w:rPr>
              <w:t>图2-</w:t>
            </w:r>
            <w:r>
              <w:rPr>
                <w:rFonts w:hint="eastAsia" w:eastAsia="仿宋" w:cs="Times New Roman"/>
                <w:b/>
                <w:bCs/>
                <w:color w:val="auto"/>
                <w:kern w:val="0"/>
                <w:sz w:val="24"/>
                <w:lang w:val="en-US" w:eastAsia="zh-CN"/>
              </w:rPr>
              <w:t xml:space="preserve">5 </w:t>
            </w:r>
            <w:r>
              <w:rPr>
                <w:rFonts w:hint="default" w:ascii="Times New Roman" w:hAnsi="Times New Roman" w:eastAsia="仿宋" w:cs="Times New Roman"/>
                <w:b/>
                <w:bCs/>
                <w:color w:val="auto"/>
                <w:kern w:val="0"/>
                <w:sz w:val="24"/>
              </w:rPr>
              <w:t>风机吊装示意图</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1.2道路工程</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本风电场工程场内道路长约</w:t>
            </w:r>
            <w:r>
              <w:rPr>
                <w:rFonts w:hint="eastAsia" w:eastAsia="仿宋" w:cs="Times New Roman"/>
                <w:color w:val="auto"/>
                <w:kern w:val="0"/>
                <w:sz w:val="24"/>
                <w:lang w:val="en-US" w:eastAsia="zh-CN"/>
              </w:rPr>
              <w:t>2.6</w:t>
            </w:r>
            <w:r>
              <w:rPr>
                <w:rFonts w:hint="default" w:ascii="Times New Roman" w:hAnsi="Times New Roman" w:eastAsia="仿宋" w:cs="Times New Roman"/>
                <w:color w:val="auto"/>
                <w:kern w:val="0"/>
                <w:sz w:val="24"/>
              </w:rPr>
              <w:t>km，</w:t>
            </w:r>
            <w:r>
              <w:rPr>
                <w:rFonts w:hint="eastAsia" w:eastAsia="仿宋" w:cs="Times New Roman"/>
                <w:color w:val="auto"/>
                <w:kern w:val="0"/>
                <w:sz w:val="24"/>
                <w:lang w:val="en-US" w:eastAsia="zh-CN"/>
              </w:rPr>
              <w:t>全部为新建道路</w:t>
            </w:r>
            <w:r>
              <w:rPr>
                <w:rFonts w:hint="default" w:ascii="Times New Roman" w:hAnsi="Times New Roman" w:eastAsia="仿宋" w:cs="Times New Roman"/>
                <w:color w:val="auto"/>
                <w:kern w:val="0"/>
                <w:sz w:val="24"/>
              </w:rPr>
              <w:t>。道路土方采用挖掘机开挖，石方采用手风钻钻孔爆破，推土机集料，装载机配自卸汽车运至道路填方部位，并根据现场开挖后的地质条件，在需要路段砌筑挡墙。道路施工主要以填筑为主，土石方填筑采用自卸汽车卸料，推土机推平，按设计要求振动、分层碾压至设计密实度。</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路基填土应控制好土的最佳含水量，以保证路基的压实度符合有关规范要求。路基填石应严格控制好石料粒径的大小，并保证压实度符合有关规范要求。对挖方与填方的过渡地段，为了防止竣工后产生错台以致造成路面破坏，应按规定采取必要的施工措施。如果以挖作填时，将表层土单独挖存，或按不同的土层分层挖掘，以满足路堤填筑的要求。施工程序为清表（表土集中临时堆放）→排水沟放样→开挖排水沟→路基填筑、边坡开挖→路基防护。</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（2）路面工程</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根据本项目的使用性质，全段设计为泥结碎石路面。</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泥结碎石层施工方法有灌浆法、拌和法及层铺法三种，本项目施工方主要采用灌浆法。</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1）堆料及摊铺</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作业段划分：摊铺作业时，每个流水段可按40～50m为一段，根据摊铺用料石量计算卸料车数。在施工段上梅花形布料，由专人负责指挥。卸料后用推土机整平。碎石层虚铺厚度应为设计厚度乘以压实系数的松铺厚度，压实系数为1.25～1.30，</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应按机械配备情况确定每天的施工长度，可根据施工进度要求以8～10h为一班连续摊铺。</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摊铺：碎石料卸料后，应及时整平。尽最大限度使用推土机初平，路宽不能满足推土机操作宽度情况下，使用人工摊平。现场施工人员应根据放线标高及松铺厚度，用白色标记标出明显标志，为推土机指示推平标高，以便推土机按准确高度和横坡推平，为下一步稳压创造良好条件。</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2）稳压</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稳压宜用小型压路机自两侧向路中慢速稳压两遍，使碎石各就其位，穿插紧密，初步形成平面。稳压两遍后即洒水，用水量约2-2.5kg/m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，以后随压随洒水花，用量约1kg/m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，保持石料湿润，减少摩阻力。</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3）灌泥浆</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碎石层经稳压后，随即进行灌泥浆，灌浆时要浇灌得均匀，并且灌满碎石间的孔隙。泥浆的表面应与碎石齐平，碎石的棱角应露出泥浆之上。灌浆时必须使泥浆灌到碎石层的底部，灌浆1～2小时后，当泥浆下沉，孔隙中空气溢出后，在未干的碎石层表面上撒石屑嵌缝料（1～1.5m</w:t>
            </w:r>
            <w:r>
              <w:rPr>
                <w:rFonts w:hint="default" w:ascii="Times New Roman" w:hAnsi="Times New Roman" w:eastAsia="仿宋" w:cs="Times New Roman"/>
                <w:color w:val="auto"/>
                <w:kern w:val="0"/>
                <w:sz w:val="24"/>
                <w:vertAlign w:val="superscript"/>
              </w:rPr>
              <w:t>3</w:t>
            </w:r>
            <w:r>
              <w:rPr>
                <w:rFonts w:hint="default" w:ascii="Times New Roman" w:hAnsi="Times New Roman" w:eastAsia="仿宋" w:cs="Times New Roman"/>
                <w:color w:val="auto"/>
                <w:kern w:val="0"/>
                <w:sz w:val="24"/>
              </w:rPr>
              <w:t>/100m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），用以填塞碎石层表面的空隙。</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4）碾压</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rPr>
              <w:t>灌浆完成后，待路面表面已干但内部泥浆尚处于半湿状态时，应立即用压路机在路基全宽内进行压实，使碎石缝内泥浆翻出与所有撒布石屑粘成整体。</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由两侧向路中心碾压，先压路边2-3遍后逐渐移向中心。从稳压到碾压全过程都应随压随洒水花效果较好。碾压至表面平整，无明显轮迹，压实密度大于或等于设计要求。</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5）铺封层</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碾压结束后，路表常会呈现骨料外露而周围缺少细料的麻面现象。为了防止产生这种缺陷应加铺封面，其方法是在面层上浇洒粘土浆一层，用扫把扫匀后，随即覆盖石屑，扫匀后并用轻型压路机碾压3-4遍，即可开放交通，封层厚度不应大于1cm。</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1.3升压站工程</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本风电场设1座</w:t>
            </w:r>
            <w:r>
              <w:rPr>
                <w:rFonts w:hint="eastAsia" w:eastAsia="仿宋" w:cs="Times New Roman"/>
                <w:color w:val="auto"/>
                <w:kern w:val="0"/>
                <w:sz w:val="24"/>
                <w:lang w:val="en-US" w:eastAsia="zh-CN"/>
              </w:rPr>
              <w:t>110kV</w:t>
            </w:r>
            <w:r>
              <w:rPr>
                <w:rFonts w:hint="default" w:ascii="Times New Roman" w:hAnsi="Times New Roman" w:eastAsia="仿宋" w:cs="Times New Roman"/>
                <w:color w:val="auto"/>
                <w:kern w:val="0"/>
                <w:sz w:val="24"/>
                <w:lang w:val="en-US" w:eastAsia="zh-CN"/>
              </w:rPr>
              <w:t>升压站，站内主要布置有</w:t>
            </w:r>
            <w:r>
              <w:rPr>
                <w:rFonts w:hint="default" w:eastAsia="仿宋" w:cs="Times New Roman"/>
                <w:color w:val="auto"/>
                <w:kern w:val="0"/>
                <w:sz w:val="24"/>
                <w:lang w:eastAsia="zh-CN"/>
              </w:rPr>
              <w:t>检修舱、消防</w:t>
            </w:r>
            <w:r>
              <w:rPr>
                <w:rFonts w:hint="eastAsia" w:eastAsia="仿宋" w:cs="Times New Roman"/>
                <w:color w:val="auto"/>
                <w:kern w:val="0"/>
                <w:sz w:val="24"/>
                <w:lang w:val="en-US" w:eastAsia="zh-CN"/>
              </w:rPr>
              <w:t>小室</w:t>
            </w:r>
            <w:r>
              <w:rPr>
                <w:rFonts w:hint="default" w:eastAsia="仿宋" w:cs="Times New Roman"/>
                <w:color w:val="auto"/>
                <w:kern w:val="0"/>
                <w:sz w:val="24"/>
                <w:lang w:eastAsia="zh-CN"/>
              </w:rPr>
              <w:t>、消防水池、主变、35kV预制舱、站用变及低压配电舱、SVG、危废暂存间、独立避雷针、GIS及出线构架等</w:t>
            </w:r>
            <w:r>
              <w:rPr>
                <w:rFonts w:hint="default" w:ascii="Times New Roman" w:hAnsi="Times New Roman" w:eastAsia="仿宋" w:cs="Times New Roman"/>
                <w:color w:val="auto"/>
                <w:kern w:val="0"/>
                <w:sz w:val="24"/>
                <w:lang w:val="en-US" w:eastAsia="zh-CN"/>
              </w:rPr>
              <w:t>。基础土石方开挖边坡按1:1控制，采用推土机或反铲挖掘机，一次开挖到位，为减少土料高含水量对施工造成的影响，尽量避免基底土方扰动，基坑底部留30cm保护层，采用人工开挖。开挖的土方运往施工临时堆渣区堆放，用于土方回填。升压站土建施工时，在建筑物下部结构铺设平面底脚手架仓面，在上部结构处铺设立体高脚手架仓面，由人工脚轮车在高地脚手架上将混凝土利用溜筒倒入仓面，人工平仓，振捣器振捣，在施工过程中，严格按照技术要求进行。</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主变压器：主变基础采用钢筋混凝土基础，事故油池采用钢筋混凝土底板，池壁采用砖砌池壁，砖砌体表面粉20mm厚1：2防水水泥砂浆，油池铺钢格栅滤油层，上覆300mm厚鹅卵石，圈梁及盖板采用钢筋混凝土结构。</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SVG成套装置：SVG集装箱基础采用钢筋混凝土条形基础，天然地基。其他设备基础为现浇钢筋混凝土独立基础。水冷装置基础为整板式基础。其中，电抗器基础采用素混凝土基础。</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eastAsia" w:eastAsia="仿宋" w:cs="Times New Roman"/>
                <w:color w:val="auto"/>
                <w:kern w:val="0"/>
                <w:sz w:val="24"/>
                <w:lang w:val="en-US" w:eastAsia="zh-CN"/>
              </w:rPr>
              <w:t>110kV</w:t>
            </w:r>
            <w:r>
              <w:rPr>
                <w:rFonts w:hint="default" w:ascii="Times New Roman" w:hAnsi="Times New Roman" w:eastAsia="仿宋" w:cs="Times New Roman"/>
                <w:color w:val="auto"/>
                <w:kern w:val="0"/>
                <w:sz w:val="24"/>
                <w:lang w:val="en-US" w:eastAsia="zh-CN"/>
              </w:rPr>
              <w:t>单门形构架、构架避雷针及基础：单门形构架采用圆钢管，构架梁为钢结构，钢材均为Q235B，焊条为E43系列，所有钢构件均采用整体热镀锌防腐。基础均采用独立基础，天然地基。构架避雷针搁置在构架柱顶上，为拔梢钢管避雷针型式。</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1.4集电线路区</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直埋电缆沟与场内道路伴行时敷设时，首先修建到各风机机位的检修道路，在修建道路的同时，预留敷设电缆的通道。</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rPr>
              <w:t>直埋电缆敷设部分将电力电缆及光缆等直接埋入，人工回填。电缆沟施工及敷设时要求认真清理平电缆沟底，防止砾石碰到电缆；直埋电缆施工要求敷设电缆后先用砂回填，将电缆盖住，铺设混凝土板后再回填碎石土，人工夯实。主体设计开挖宽1m×深1m的沟槽后敷设电缆，由于实际施工中沟槽断面为梯形更为合理，本方案对沟槽进行优化，本工程直埋电缆沟槽设计为上底1.2m、下底0.8m、深1m的梯形，开挖根据地形情况采用人工开挖或0.2m</w:t>
            </w:r>
            <w:r>
              <w:rPr>
                <w:rFonts w:hint="default" w:ascii="Times New Roman" w:hAnsi="Times New Roman" w:eastAsia="仿宋" w:cs="Times New Roman"/>
                <w:color w:val="auto"/>
                <w:kern w:val="0"/>
                <w:sz w:val="24"/>
                <w:vertAlign w:val="superscript"/>
              </w:rPr>
              <w:t>3</w:t>
            </w:r>
            <w:r>
              <w:rPr>
                <w:rFonts w:hint="default" w:ascii="Times New Roman" w:hAnsi="Times New Roman" w:eastAsia="仿宋" w:cs="Times New Roman"/>
                <w:color w:val="auto"/>
                <w:kern w:val="0"/>
                <w:sz w:val="24"/>
              </w:rPr>
              <w:t>反铲挖掘机开挖沟槽，基础开挖完成后，应将槽底清理干净并夯实，敷设电缆的上下各铺100mm厚细砂，并在电缆上侧做盖砖保护。集电线路区施工时表土与生土依次堆放，表土在下生土在上，开挖土料堆放于沟槽开挖区一侧，电缆铺设完毕后，进行土方回填，多余土方用于电缆沟作业带区覆土，最后将底层堆放的表土平铺于作业带内。</w:t>
            </w:r>
          </w:p>
          <w:p>
            <w:pPr>
              <w:adjustRightInd w:val="0"/>
              <w:snapToGrid w:val="0"/>
              <w:spacing w:line="360" w:lineRule="auto"/>
              <w:ind w:firstLine="480" w:firstLineChars="200"/>
              <w:rPr>
                <w:rFonts w:hint="eastAsia" w:ascii="Times New Roman" w:hAnsi="Times New Roman" w:eastAsia="仿宋" w:cs="Times New Roman"/>
                <w:color w:val="auto"/>
                <w:kern w:val="0"/>
                <w:sz w:val="24"/>
                <w:lang w:eastAsia="zh-CN"/>
              </w:rPr>
            </w:pPr>
            <w:r>
              <w:rPr>
                <w:rFonts w:hint="default" w:ascii="Times New Roman" w:hAnsi="Times New Roman" w:eastAsia="仿宋" w:cs="Times New Roman"/>
                <w:color w:val="auto"/>
                <w:kern w:val="0"/>
                <w:sz w:val="24"/>
              </w:rPr>
              <w:t>1.5</w:t>
            </w:r>
            <w:r>
              <w:rPr>
                <w:rFonts w:hint="eastAsia" w:eastAsia="仿宋" w:cs="Times New Roman"/>
                <w:color w:val="auto"/>
                <w:kern w:val="0"/>
                <w:sz w:val="24"/>
                <w:lang w:eastAsia="zh-CN"/>
              </w:rPr>
              <w:t>施工生产生活区</w:t>
            </w:r>
          </w:p>
          <w:p>
            <w:pPr>
              <w:adjustRightInd w:val="0"/>
              <w:snapToGrid w:val="0"/>
              <w:spacing w:line="360" w:lineRule="auto"/>
              <w:ind w:firstLine="480" w:firstLineChars="200"/>
              <w:rPr>
                <w:color w:val="auto"/>
                <w:sz w:val="24"/>
                <w:szCs w:val="24"/>
              </w:rPr>
            </w:pPr>
            <w:r>
              <w:rPr>
                <w:rFonts w:hint="default" w:ascii="Times New Roman" w:hAnsi="Times New Roman" w:eastAsia="仿宋" w:cs="Times New Roman"/>
                <w:color w:val="auto"/>
                <w:kern w:val="0"/>
                <w:sz w:val="24"/>
              </w:rPr>
              <w:t>在施工准备期主要为平整场地、修筑施工道路及施工临时生活设施，以机械施工为主，人工施工为辅，动土强度较大。表土保留，用于恢复植被的覆土工程。在建设期主要是各种机械设备碾压和施工人员对地表的扰动。</w:t>
            </w:r>
          </w:p>
          <w:p>
            <w:pPr>
              <w:adjustRightInd w:val="0"/>
              <w:snapToGrid w:val="0"/>
              <w:spacing w:line="360" w:lineRule="auto"/>
              <w:ind w:firstLine="0" w:firstLineChars="0"/>
              <w:rPr>
                <w:rFonts w:hint="default" w:ascii="Times New Roman" w:hAnsi="Times New Roman" w:eastAsia="仿宋" w:cs="Times New Roman"/>
                <w:b/>
                <w:color w:val="auto"/>
                <w:kern w:val="0"/>
                <w:sz w:val="24"/>
              </w:rPr>
            </w:pPr>
            <w:r>
              <w:rPr>
                <w:rFonts w:ascii="Times New Roman" w:hAnsi="Times New Roman" w:eastAsia="Times New Roman" w:cs="Times New Roman"/>
                <w:b/>
                <w:bCs/>
                <w:color w:val="auto"/>
                <w:spacing w:val="-7"/>
                <w:sz w:val="24"/>
                <w:szCs w:val="24"/>
              </w:rPr>
              <w:t>2</w:t>
            </w:r>
            <w:r>
              <w:rPr>
                <w:b/>
                <w:bCs/>
                <w:color w:val="auto"/>
                <w:spacing w:val="-7"/>
                <w:sz w:val="24"/>
                <w:szCs w:val="24"/>
              </w:rPr>
              <w:t>、</w:t>
            </w:r>
            <w:r>
              <w:rPr>
                <w:rFonts w:hint="default" w:ascii="Times New Roman" w:hAnsi="Times New Roman" w:eastAsia="仿宋" w:cs="Times New Roman"/>
                <w:b/>
                <w:color w:val="auto"/>
                <w:kern w:val="0"/>
                <w:sz w:val="24"/>
              </w:rPr>
              <w:t>施工时序</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本工程主要施工项目工序流程如下：施工前期准备→道路施工→风电机组基础施工→升压站电气设备安装、调试及风电机组安装、线路敷设→第一组风电机组调试、发电投产→工程竣工。</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根据施工安排，本工程建设总工期为12个月，具体工程进度如下：</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（1）施工准备期从第1月初开始，第1月底结束。准备工程完成后，进行有关各项分项工程施工。</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（2）新建场内施工道路从第2月初开始，至第7月底全部结束。</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（3）风电机组基础施工从第3月中旬开始，第8月中旬结束。箱变基础施工从第4月中旬开始，第8月中旬结束。箱式变压器的安装从第7月初开始，第9月底结束。</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（4）电气设备安装及调试从第7月初开始，第10月底结束。</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（5）通信电缆的敷设从第7月初开始，第9月底结束。监控系统联调分两段完成，在10月和12月进行。</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（6）6月初起进行风力发电机组的吊装，第10月底首批风电机组发电，第12月底全部机组投产发电。</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施工总进度计划见表2-</w:t>
            </w:r>
            <w:r>
              <w:rPr>
                <w:rFonts w:hint="eastAsia" w:eastAsia="仿宋" w:cs="Times New Roman"/>
                <w:color w:val="auto"/>
                <w:kern w:val="0"/>
                <w:sz w:val="24"/>
                <w:lang w:val="en-US" w:eastAsia="zh-CN"/>
              </w:rPr>
              <w:t>7</w:t>
            </w:r>
            <w:r>
              <w:rPr>
                <w:rFonts w:hint="default" w:ascii="Times New Roman" w:hAnsi="Times New Roman" w:eastAsia="仿宋" w:cs="Times New Roman"/>
                <w:color w:val="auto"/>
                <w:kern w:val="0"/>
                <w:sz w:val="24"/>
              </w:rPr>
              <w:t>。</w:t>
            </w:r>
          </w:p>
          <w:p>
            <w:pPr>
              <w:adjustRightInd w:val="0"/>
              <w:snapToGrid w:val="0"/>
              <w:spacing w:line="360" w:lineRule="auto"/>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表2-</w:t>
            </w:r>
            <w:r>
              <w:rPr>
                <w:rFonts w:hint="eastAsia" w:eastAsia="仿宋" w:cs="Times New Roman"/>
                <w:b/>
                <w:color w:val="auto"/>
                <w:kern w:val="0"/>
                <w:szCs w:val="21"/>
                <w:lang w:val="en-US" w:eastAsia="zh-CN"/>
              </w:rPr>
              <w:t>7</w:t>
            </w:r>
            <w:r>
              <w:rPr>
                <w:rFonts w:hint="default" w:ascii="Times New Roman" w:hAnsi="Times New Roman" w:eastAsia="仿宋" w:cs="Times New Roman"/>
                <w:b/>
                <w:color w:val="auto"/>
                <w:kern w:val="0"/>
                <w:szCs w:val="21"/>
              </w:rPr>
              <w:t xml:space="preserve">  风电场工程施工总进度计划表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3154"/>
              <w:gridCol w:w="3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2" w:type="dxa"/>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开始时间</w:t>
                  </w:r>
                </w:p>
              </w:tc>
              <w:tc>
                <w:tcPr>
                  <w:tcW w:w="3260" w:type="dxa"/>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项目</w:t>
                  </w:r>
                </w:p>
              </w:tc>
              <w:tc>
                <w:tcPr>
                  <w:tcW w:w="3312" w:type="dxa"/>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第1月初</w:t>
                  </w:r>
                </w:p>
              </w:tc>
              <w:tc>
                <w:tcPr>
                  <w:tcW w:w="3260"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施工准备工作开始</w:t>
                  </w:r>
                </w:p>
              </w:tc>
              <w:tc>
                <w:tcPr>
                  <w:tcW w:w="33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第2月初</w:t>
                  </w:r>
                </w:p>
              </w:tc>
              <w:tc>
                <w:tcPr>
                  <w:tcW w:w="3260"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场内施工道路开工</w:t>
                  </w:r>
                </w:p>
              </w:tc>
              <w:tc>
                <w:tcPr>
                  <w:tcW w:w="33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到第7月底具备大件运输条件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第3月中旬</w:t>
                  </w:r>
                </w:p>
              </w:tc>
              <w:tc>
                <w:tcPr>
                  <w:tcW w:w="3260"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风机基础工程开工</w:t>
                  </w:r>
                </w:p>
              </w:tc>
              <w:tc>
                <w:tcPr>
                  <w:tcW w:w="33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到第8月中旬完成全部基础浇筑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第7月初</w:t>
                  </w:r>
                </w:p>
              </w:tc>
              <w:tc>
                <w:tcPr>
                  <w:tcW w:w="3260"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电气设备安装和调试开始</w:t>
                  </w:r>
                </w:p>
              </w:tc>
              <w:tc>
                <w:tcPr>
                  <w:tcW w:w="33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到第8月底具备送电条件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第6月初</w:t>
                  </w:r>
                </w:p>
              </w:tc>
              <w:tc>
                <w:tcPr>
                  <w:tcW w:w="3260"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机组安装开始</w:t>
                  </w:r>
                </w:p>
              </w:tc>
              <w:tc>
                <w:tcPr>
                  <w:tcW w:w="33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机组安装按5天1台控制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第12月底</w:t>
                  </w:r>
                </w:p>
              </w:tc>
              <w:tc>
                <w:tcPr>
                  <w:tcW w:w="3260"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最后一批机组投产并网发电</w:t>
                  </w:r>
                </w:p>
              </w:tc>
              <w:tc>
                <w:tcPr>
                  <w:tcW w:w="3312" w:type="dxa"/>
                  <w:vAlign w:val="center"/>
                </w:tcPr>
                <w:p>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bl>
          <w:p>
            <w:pPr>
              <w:adjustRightInd w:val="0"/>
              <w:snapToGrid w:val="0"/>
              <w:spacing w:line="360" w:lineRule="auto"/>
              <w:rPr>
                <w:rFonts w:hint="default" w:ascii="Times New Roman" w:hAnsi="Times New Roman" w:eastAsia="仿宋" w:cs="Times New Roman"/>
                <w:b/>
                <w:color w:val="auto"/>
                <w:kern w:val="0"/>
                <w:sz w:val="24"/>
              </w:rPr>
            </w:pPr>
            <w:r>
              <w:rPr>
                <w:rFonts w:hint="eastAsia" w:eastAsia="仿宋" w:cs="Times New Roman"/>
                <w:b/>
                <w:color w:val="auto"/>
                <w:kern w:val="0"/>
                <w:sz w:val="24"/>
                <w:lang w:val="en-US" w:eastAsia="zh-CN"/>
              </w:rPr>
              <w:t>3</w:t>
            </w:r>
            <w:r>
              <w:rPr>
                <w:rFonts w:hint="default" w:ascii="Times New Roman" w:hAnsi="Times New Roman" w:eastAsia="仿宋" w:cs="Times New Roman"/>
                <w:b/>
                <w:color w:val="auto"/>
                <w:kern w:val="0"/>
                <w:sz w:val="24"/>
              </w:rPr>
              <w:t>、建设周期</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工程建设总工期为12个月，工程筹建期1个月。主体工程于第2月初开始，第12月底</w:t>
            </w:r>
            <w:r>
              <w:rPr>
                <w:rFonts w:hint="eastAsia" w:eastAsia="仿宋" w:cs="Times New Roman"/>
                <w:color w:val="auto"/>
                <w:kern w:val="0"/>
                <w:sz w:val="24"/>
                <w:lang w:eastAsia="zh-CN"/>
              </w:rPr>
              <w:t>10台</w:t>
            </w:r>
            <w:r>
              <w:rPr>
                <w:rFonts w:hint="default" w:ascii="Times New Roman" w:hAnsi="Times New Roman" w:eastAsia="仿宋" w:cs="Times New Roman"/>
                <w:color w:val="auto"/>
                <w:kern w:val="0"/>
                <w:sz w:val="24"/>
              </w:rPr>
              <w:t>机组全部投产发电，工程完工。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564"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其他</w:t>
            </w:r>
          </w:p>
        </w:tc>
        <w:tc>
          <w:tcPr>
            <w:tcW w:w="8526"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无</w:t>
            </w:r>
          </w:p>
        </w:tc>
      </w:tr>
    </w:tbl>
    <w:p>
      <w:pPr>
        <w:pStyle w:val="17"/>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b/>
          <w:bCs/>
          <w:color w:val="auto"/>
        </w:rPr>
        <w:br w:type="page"/>
      </w:r>
      <w:bookmarkStart w:id="6" w:name="_Toc66980746"/>
      <w:r>
        <w:rPr>
          <w:rFonts w:hint="default" w:ascii="黑体" w:hAnsi="黑体" w:eastAsia="黑体" w:cs="黑体"/>
          <w:snapToGrid w:val="0"/>
          <w:color w:val="auto"/>
          <w:sz w:val="30"/>
          <w:szCs w:val="30"/>
        </w:rPr>
        <w:t>三、生态环境现状、保护目标及评价标准</w:t>
      </w:r>
      <w:bookmarkEnd w:id="6"/>
    </w:p>
    <w:tbl>
      <w:tblPr>
        <w:tblStyle w:val="21"/>
        <w:tblW w:w="94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1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56"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生态环境现状</w:t>
            </w:r>
          </w:p>
        </w:tc>
        <w:tc>
          <w:tcPr>
            <w:tcW w:w="9042" w:type="dxa"/>
            <w:vAlign w:val="center"/>
          </w:tcPr>
          <w:p>
            <w:pPr>
              <w:adjustRightInd w:val="0"/>
              <w:snapToGrid w:val="0"/>
              <w:spacing w:line="360" w:lineRule="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1、生态环境现状</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根据工程土地利用现状的分析，结合动植物分布和生物量的调查，对项目区内的生态环境进行生态系统划分，</w:t>
            </w:r>
            <w:r>
              <w:rPr>
                <w:rFonts w:hint="eastAsia" w:eastAsia="仿宋" w:cs="Times New Roman"/>
                <w:color w:val="auto"/>
                <w:sz w:val="24"/>
                <w:lang w:val="en-US" w:eastAsia="zh-CN"/>
              </w:rPr>
              <w:t>主要</w:t>
            </w:r>
            <w:r>
              <w:rPr>
                <w:rFonts w:hint="default" w:ascii="Times New Roman" w:hAnsi="Times New Roman" w:eastAsia="仿宋" w:cs="Times New Roman"/>
                <w:color w:val="auto"/>
                <w:sz w:val="24"/>
              </w:rPr>
              <w:t>为森林生态系统。</w:t>
            </w:r>
          </w:p>
          <w:p>
            <w:pPr>
              <w:numPr>
                <w:ilvl w:val="255"/>
                <w:numId w:val="0"/>
              </w:numPr>
              <w:adjustRightInd w:val="0"/>
              <w:snapToGrid w:val="0"/>
              <w:spacing w:line="360" w:lineRule="auto"/>
              <w:ind w:firstLine="480" w:firstLineChars="200"/>
              <w:rPr>
                <w:rFonts w:hint="default" w:ascii="Times New Roman" w:hAnsi="Times New Roman" w:eastAsia="仿宋" w:cs="Times New Roman"/>
                <w:color w:val="auto"/>
                <w:sz w:val="24"/>
                <w:szCs w:val="32"/>
              </w:rPr>
            </w:pPr>
            <w:r>
              <w:rPr>
                <w:rFonts w:hint="default" w:ascii="Times New Roman" w:hAnsi="Times New Roman" w:eastAsia="仿宋" w:cs="Times New Roman"/>
                <w:color w:val="auto"/>
                <w:sz w:val="24"/>
              </w:rPr>
              <w:t>（1）生态系统现状</w:t>
            </w:r>
          </w:p>
          <w:p>
            <w:pPr>
              <w:pStyle w:val="28"/>
              <w:spacing w:line="360" w:lineRule="auto"/>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评价区生态系统主要由</w:t>
            </w:r>
            <w:r>
              <w:rPr>
                <w:rFonts w:hint="eastAsia" w:ascii="Times New Roman" w:eastAsia="仿宋" w:cs="Times New Roman"/>
                <w:color w:val="auto"/>
                <w:lang w:val="en-US" w:eastAsia="zh-CN"/>
              </w:rPr>
              <w:t>森林</w:t>
            </w:r>
            <w:r>
              <w:rPr>
                <w:rFonts w:hint="default" w:ascii="Times New Roman" w:hAnsi="Times New Roman" w:eastAsia="仿宋" w:cs="Times New Roman"/>
                <w:color w:val="auto"/>
              </w:rPr>
              <w:t>生态系统组成</w:t>
            </w:r>
            <w:r>
              <w:rPr>
                <w:rFonts w:hint="eastAsia" w:ascii="Times New Roman" w:eastAsia="仿宋" w:cs="Times New Roman"/>
                <w:color w:val="auto"/>
                <w:lang w:eastAsia="zh-CN"/>
              </w:rPr>
              <w:t>，</w:t>
            </w:r>
            <w:r>
              <w:rPr>
                <w:rFonts w:hint="eastAsia" w:ascii="Times New Roman" w:eastAsia="仿宋" w:cs="Times New Roman"/>
                <w:color w:val="auto"/>
                <w:lang w:val="en-US" w:eastAsia="zh-CN"/>
              </w:rPr>
              <w:t>项目所在地具体情况见下图</w:t>
            </w:r>
            <w:r>
              <w:rPr>
                <w:rFonts w:hint="default" w:ascii="Times New Roman" w:hAnsi="Times New Roman" w:eastAsia="仿宋" w:cs="Times New Roman"/>
                <w:color w:val="auto"/>
              </w:rPr>
              <w:t>。</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7"/>
              <w:gridCol w:w="4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6" w:type="dxa"/>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ascii="Times New Roman" w:hAnsi="Times New Roman" w:eastAsia="仿宋" w:cs="Times New Roman"/>
                      <w:color w:val="auto"/>
                      <w:sz w:val="24"/>
                      <w:lang w:eastAsia="zh-CN"/>
                    </w:rPr>
                    <w:drawing>
                      <wp:inline distT="0" distB="0" distL="114300" distR="114300">
                        <wp:extent cx="2688590" cy="1511935"/>
                        <wp:effectExtent l="0" t="0" r="16510" b="12065"/>
                        <wp:docPr id="36" name="图片 36" descr="微信图片_2024122316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41223163302"/>
                                <pic:cNvPicPr>
                                  <a:picLocks noChangeAspect="1"/>
                                </pic:cNvPicPr>
                              </pic:nvPicPr>
                              <pic:blipFill>
                                <a:blip r:embed="rId20"/>
                                <a:stretch>
                                  <a:fillRect/>
                                </a:stretch>
                              </pic:blipFill>
                              <pic:spPr>
                                <a:xfrm>
                                  <a:off x="0" y="0"/>
                                  <a:ext cx="2688590" cy="1511935"/>
                                </a:xfrm>
                                <a:prstGeom prst="rect">
                                  <a:avLst/>
                                </a:prstGeom>
                              </pic:spPr>
                            </pic:pic>
                          </a:graphicData>
                        </a:graphic>
                      </wp:inline>
                    </w:drawing>
                  </w:r>
                </w:p>
              </w:tc>
              <w:tc>
                <w:tcPr>
                  <w:tcW w:w="4086" w:type="dxa"/>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ascii="Times New Roman" w:hAnsi="Times New Roman" w:eastAsia="仿宋" w:cs="Times New Roman"/>
                      <w:color w:val="auto"/>
                      <w:sz w:val="24"/>
                      <w:lang w:eastAsia="zh-CN"/>
                    </w:rPr>
                    <w:drawing>
                      <wp:inline distT="0" distB="0" distL="114300" distR="114300">
                        <wp:extent cx="2534920" cy="1425575"/>
                        <wp:effectExtent l="0" t="0" r="17780" b="3175"/>
                        <wp:docPr id="37" name="图片 37" descr="微信图片_2024122316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41223163312"/>
                                <pic:cNvPicPr>
                                  <a:picLocks noChangeAspect="1"/>
                                </pic:cNvPicPr>
                              </pic:nvPicPr>
                              <pic:blipFill>
                                <a:blip r:embed="rId21"/>
                                <a:stretch>
                                  <a:fillRect/>
                                </a:stretch>
                              </pic:blipFill>
                              <pic:spPr>
                                <a:xfrm>
                                  <a:off x="0" y="0"/>
                                  <a:ext cx="2534920" cy="142557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6" w:type="dxa"/>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ascii="Times New Roman" w:hAnsi="Times New Roman" w:eastAsia="仿宋" w:cs="Times New Roman"/>
                      <w:color w:val="auto"/>
                      <w:sz w:val="24"/>
                      <w:lang w:eastAsia="zh-CN"/>
                    </w:rPr>
                    <w:drawing>
                      <wp:inline distT="0" distB="0" distL="114300" distR="114300">
                        <wp:extent cx="2735580" cy="1538605"/>
                        <wp:effectExtent l="0" t="0" r="7620" b="4445"/>
                        <wp:docPr id="40" name="图片 40" descr="微信图片_2024122316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41223163327"/>
                                <pic:cNvPicPr>
                                  <a:picLocks noChangeAspect="1"/>
                                </pic:cNvPicPr>
                              </pic:nvPicPr>
                              <pic:blipFill>
                                <a:blip r:embed="rId22"/>
                                <a:stretch>
                                  <a:fillRect/>
                                </a:stretch>
                              </pic:blipFill>
                              <pic:spPr>
                                <a:xfrm>
                                  <a:off x="0" y="0"/>
                                  <a:ext cx="2735580" cy="1538605"/>
                                </a:xfrm>
                                <a:prstGeom prst="rect">
                                  <a:avLst/>
                                </a:prstGeom>
                              </pic:spPr>
                            </pic:pic>
                          </a:graphicData>
                        </a:graphic>
                      </wp:inline>
                    </w:drawing>
                  </w:r>
                </w:p>
              </w:tc>
              <w:tc>
                <w:tcPr>
                  <w:tcW w:w="4086" w:type="dxa"/>
                  <w:vAlign w:val="center"/>
                </w:tcPr>
                <w:p>
                  <w:pPr>
                    <w:adjustRightInd w:val="0"/>
                    <w:snapToGrid w:val="0"/>
                    <w:jc w:val="center"/>
                    <w:rPr>
                      <w:rFonts w:hint="eastAsia" w:ascii="Times New Roman" w:hAnsi="Times New Roman" w:eastAsia="仿宋" w:cs="Times New Roman"/>
                      <w:color w:val="auto"/>
                      <w:sz w:val="24"/>
                      <w:lang w:eastAsia="zh-CN"/>
                    </w:rPr>
                  </w:pPr>
                  <w:r>
                    <w:rPr>
                      <w:rFonts w:hint="eastAsia" w:ascii="Times New Roman" w:hAnsi="Times New Roman" w:eastAsia="仿宋" w:cs="Times New Roman"/>
                      <w:color w:val="auto"/>
                      <w:sz w:val="24"/>
                      <w:lang w:eastAsia="zh-CN"/>
                    </w:rPr>
                    <w:drawing>
                      <wp:inline distT="0" distB="0" distL="114300" distR="114300">
                        <wp:extent cx="2567940" cy="1444625"/>
                        <wp:effectExtent l="0" t="0" r="3810" b="3175"/>
                        <wp:docPr id="44" name="图片 44" descr="微信图片_2024122316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41223163332"/>
                                <pic:cNvPicPr>
                                  <a:picLocks noChangeAspect="1"/>
                                </pic:cNvPicPr>
                              </pic:nvPicPr>
                              <pic:blipFill>
                                <a:blip r:embed="rId23"/>
                                <a:stretch>
                                  <a:fillRect/>
                                </a:stretch>
                              </pic:blipFill>
                              <pic:spPr>
                                <a:xfrm>
                                  <a:off x="0" y="0"/>
                                  <a:ext cx="2567940" cy="1444625"/>
                                </a:xfrm>
                                <a:prstGeom prst="rect">
                                  <a:avLst/>
                                </a:prstGeom>
                              </pic:spPr>
                            </pic:pic>
                          </a:graphicData>
                        </a:graphic>
                      </wp:inline>
                    </w:drawing>
                  </w:r>
                </w:p>
              </w:tc>
            </w:tr>
          </w:tbl>
          <w:p>
            <w:pPr>
              <w:pStyle w:val="28"/>
              <w:spacing w:line="36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color w:val="auto"/>
                <w:sz w:val="21"/>
                <w:szCs w:val="18"/>
              </w:rPr>
              <w:t>图3-1  评价区生态系统类型</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（2）陆生植物现状</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eastAsia" w:eastAsia="仿宋" w:cs="Times New Roman"/>
                <w:color w:val="auto"/>
                <w:sz w:val="24"/>
                <w:lang w:val="en-US" w:eastAsia="zh-CN"/>
              </w:rPr>
              <w:t>南江县</w:t>
            </w:r>
            <w:r>
              <w:rPr>
                <w:rFonts w:hint="eastAsia" w:eastAsia="仿宋" w:cs="Times New Roman"/>
                <w:color w:val="auto"/>
                <w:sz w:val="24"/>
                <w:lang w:eastAsia="zh-CN"/>
              </w:rPr>
              <w:t>境内植物资源丰富，以常绿阔叶、针叶类型为主，树种达200多种。优势树种有马尾松、皇柏、铁杉、桦树、楠木、白杨、石砾、巴山水青杠、红豆杉、鹅掌楸、娑罗树、连香树、银杏等珍稀植物20种，其中稀世独有的巴山水青杠，被誉为“植物活化石”，南江也被誉为“四川盆地北部边缘山区重要的生物基因库”。光雾山红叶资源因其面积大、红叶指数高而闻名中外，南江被誉为“中国红叶之乡”。主要林特产品有核桃、金银花、富晒茶叶、生漆、油桐、板栗、桃、棕片、木耳、香菇、天麻、杜仲、黄柏、竹笋等。</w:t>
            </w:r>
            <w:r>
              <w:rPr>
                <w:rFonts w:hint="eastAsia" w:eastAsia="仿宋" w:cs="Times New Roman"/>
                <w:color w:val="auto"/>
                <w:sz w:val="24"/>
                <w:lang w:val="en-US" w:eastAsia="zh-CN"/>
              </w:rPr>
              <w:t>南江县</w:t>
            </w:r>
            <w:r>
              <w:rPr>
                <w:rFonts w:hint="eastAsia" w:eastAsia="仿宋" w:cs="Times New Roman"/>
                <w:color w:val="auto"/>
                <w:sz w:val="24"/>
                <w:lang w:eastAsia="zh-CN"/>
              </w:rPr>
              <w:t>有可食性牧草281种，有万亩以上的草场16处，5000～10000亩的草场21处，85%的草地分布在海拔800米以上的地带。</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本项目风电场评价范围内主要植被为马尾松、皇柏、铁杉</w:t>
            </w:r>
            <w:r>
              <w:rPr>
                <w:rFonts w:hint="eastAsia" w:eastAsia="仿宋" w:cs="Times New Roman"/>
                <w:color w:val="auto"/>
                <w:sz w:val="24"/>
                <w:lang w:val="en-US" w:eastAsia="zh-CN"/>
              </w:rPr>
              <w:t>等</w:t>
            </w:r>
            <w:r>
              <w:rPr>
                <w:rFonts w:hint="default" w:ascii="Times New Roman" w:hAnsi="Times New Roman" w:eastAsia="仿宋" w:cs="Times New Roman"/>
                <w:color w:val="auto"/>
                <w:sz w:val="24"/>
              </w:rPr>
              <w:t>，未发现国家保护植物和古树名木分布，不涉及生态公益林。</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（3）陆生动物现状</w:t>
            </w:r>
          </w:p>
          <w:p>
            <w:pPr>
              <w:adjustRightInd w:val="0"/>
              <w:snapToGrid w:val="0"/>
              <w:spacing w:line="360" w:lineRule="auto"/>
              <w:ind w:firstLine="480" w:firstLineChars="200"/>
              <w:rPr>
                <w:rFonts w:hint="default" w:ascii="Times New Roman" w:hAnsi="Times New Roman" w:eastAsia="仿宋" w:cs="Times New Roman"/>
                <w:color w:val="auto"/>
                <w:sz w:val="24"/>
                <w:lang w:eastAsia="zh-CN"/>
              </w:rPr>
            </w:pPr>
            <w:r>
              <w:rPr>
                <w:rFonts w:hint="eastAsia" w:eastAsia="仿宋" w:cs="Times New Roman"/>
                <w:color w:val="auto"/>
                <w:sz w:val="24"/>
                <w:lang w:val="en-US" w:eastAsia="zh-CN"/>
              </w:rPr>
              <w:t>南江县</w:t>
            </w:r>
            <w:r>
              <w:rPr>
                <w:rFonts w:hint="eastAsia" w:eastAsia="仿宋" w:cs="Times New Roman"/>
                <w:color w:val="auto"/>
                <w:sz w:val="24"/>
                <w:lang w:eastAsia="zh-CN"/>
              </w:rPr>
              <w:t>已知</w:t>
            </w:r>
            <w:r>
              <w:rPr>
                <w:rFonts w:hint="eastAsia" w:eastAsia="仿宋" w:cs="Times New Roman"/>
                <w:color w:val="auto"/>
                <w:sz w:val="24"/>
                <w:lang w:val="en-US" w:eastAsia="zh-CN"/>
              </w:rPr>
              <w:t>陆生动物</w:t>
            </w:r>
            <w:r>
              <w:rPr>
                <w:rFonts w:hint="eastAsia" w:eastAsia="仿宋" w:cs="Times New Roman"/>
                <w:color w:val="auto"/>
                <w:sz w:val="24"/>
                <w:lang w:eastAsia="zh-CN"/>
              </w:rPr>
              <w:t>53种、鸟类200余种、爬行类12种、两栖类19种，仅米仓山森林公园内生存的动物就有26目、61科、195种。其中，属国家珍稀动物有云豹、林麝、金猫、大鲵（娃娃鱼）、红腹角雉等；属省三级以上保护的品种有豹、林麝、水獭、红腹锦鸡、麂子、黑熊、猕猴、金鸡等。</w:t>
            </w:r>
          </w:p>
          <w:p>
            <w:pPr>
              <w:adjustRightInd w:val="0"/>
              <w:snapToGrid w:val="0"/>
              <w:spacing w:line="360" w:lineRule="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2、地表水环境现状</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w:t>
            </w:r>
            <w:r>
              <w:rPr>
                <w:rFonts w:hint="eastAsia" w:eastAsia="仿宋" w:cs="Times New Roman"/>
                <w:color w:val="auto"/>
                <w:sz w:val="24"/>
                <w:lang w:eastAsia="zh-CN"/>
              </w:rPr>
              <w:t>巴中市</w:t>
            </w:r>
            <w:r>
              <w:rPr>
                <w:rFonts w:hint="eastAsia" w:eastAsia="仿宋" w:cs="Times New Roman"/>
                <w:color w:val="auto"/>
                <w:sz w:val="24"/>
                <w:lang w:val="en-US" w:eastAsia="zh-CN"/>
              </w:rPr>
              <w:t>南江</w:t>
            </w:r>
            <w:r>
              <w:rPr>
                <w:rFonts w:hint="default" w:ascii="Times New Roman" w:hAnsi="Times New Roman" w:eastAsia="仿宋" w:cs="Times New Roman"/>
                <w:color w:val="auto"/>
                <w:sz w:val="24"/>
              </w:rPr>
              <w:t>生态环境局于202</w:t>
            </w:r>
            <w:r>
              <w:rPr>
                <w:rFonts w:hint="eastAsia" w:eastAsia="仿宋" w:cs="Times New Roman"/>
                <w:color w:val="auto"/>
                <w:sz w:val="24"/>
                <w:lang w:val="en-US" w:eastAsia="zh-CN"/>
              </w:rPr>
              <w:t>4</w:t>
            </w:r>
            <w:r>
              <w:rPr>
                <w:rFonts w:hint="default" w:ascii="Times New Roman" w:hAnsi="Times New Roman" w:eastAsia="仿宋" w:cs="Times New Roman"/>
                <w:color w:val="auto"/>
                <w:sz w:val="24"/>
              </w:rPr>
              <w:t>年</w:t>
            </w:r>
            <w:r>
              <w:rPr>
                <w:rFonts w:hint="eastAsia" w:eastAsia="仿宋" w:cs="Times New Roman"/>
                <w:color w:val="auto"/>
                <w:sz w:val="24"/>
                <w:lang w:val="en-US" w:eastAsia="zh-CN"/>
              </w:rPr>
              <w:t>1</w:t>
            </w:r>
            <w:r>
              <w:rPr>
                <w:rFonts w:hint="default" w:ascii="Times New Roman" w:hAnsi="Times New Roman" w:eastAsia="仿宋" w:cs="Times New Roman"/>
                <w:color w:val="auto"/>
                <w:sz w:val="24"/>
              </w:rPr>
              <w:t>月</w:t>
            </w:r>
            <w:r>
              <w:rPr>
                <w:rFonts w:hint="eastAsia" w:eastAsia="仿宋" w:cs="Times New Roman"/>
                <w:color w:val="auto"/>
                <w:sz w:val="24"/>
                <w:lang w:val="en-US" w:eastAsia="zh-CN"/>
              </w:rPr>
              <w:t>3</w:t>
            </w:r>
            <w:r>
              <w:rPr>
                <w:rFonts w:hint="default" w:ascii="Times New Roman" w:hAnsi="Times New Roman" w:eastAsia="仿宋" w:cs="Times New Roman"/>
                <w:color w:val="auto"/>
                <w:sz w:val="24"/>
              </w:rPr>
              <w:t>日发布的《南江县二O二三年环境质量公告》（https://www.scnj.gov.cn/public/6598111/13916061.html）</w:t>
            </w:r>
            <w:r>
              <w:rPr>
                <w:rFonts w:hint="eastAsia" w:eastAsia="仿宋" w:cs="Times New Roman"/>
                <w:color w:val="auto"/>
                <w:sz w:val="24"/>
                <w:lang w:val="en-US" w:eastAsia="zh-CN"/>
              </w:rPr>
              <w:t>中的数据</w:t>
            </w:r>
            <w:r>
              <w:rPr>
                <w:rFonts w:hint="default" w:ascii="Times New Roman" w:hAnsi="Times New Roman" w:eastAsia="仿宋" w:cs="Times New Roman"/>
                <w:color w:val="auto"/>
                <w:sz w:val="24"/>
              </w:rPr>
              <w:t>，本项目周边地表水体</w:t>
            </w:r>
            <w:r>
              <w:rPr>
                <w:rFonts w:hint="eastAsia" w:eastAsia="仿宋" w:cs="Times New Roman"/>
                <w:color w:val="auto"/>
                <w:sz w:val="24"/>
                <w:lang w:val="en-US" w:eastAsia="zh-CN"/>
              </w:rPr>
              <w:t>主要</w:t>
            </w:r>
            <w:r>
              <w:rPr>
                <w:rFonts w:hint="default" w:ascii="Times New Roman" w:hAnsi="Times New Roman" w:eastAsia="仿宋" w:cs="Times New Roman"/>
                <w:color w:val="auto"/>
                <w:sz w:val="24"/>
              </w:rPr>
              <w:t>为</w:t>
            </w:r>
            <w:r>
              <w:rPr>
                <w:rFonts w:hint="eastAsia" w:eastAsia="仿宋" w:cs="Times New Roman"/>
                <w:color w:val="auto"/>
                <w:sz w:val="24"/>
                <w:lang w:val="en-US" w:eastAsia="zh-CN"/>
              </w:rPr>
              <w:t>南江河，水质监测情况如下：</w:t>
            </w:r>
          </w:p>
          <w:p>
            <w:pPr>
              <w:spacing w:line="360" w:lineRule="auto"/>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表3-</w:t>
            </w:r>
            <w:r>
              <w:rPr>
                <w:rFonts w:hint="eastAsia" w:eastAsia="仿宋" w:cs="Times New Roman"/>
                <w:b/>
                <w:color w:val="auto"/>
                <w:kern w:val="0"/>
                <w:szCs w:val="21"/>
                <w:lang w:val="en-US" w:eastAsia="zh-CN"/>
              </w:rPr>
              <w:t>1</w:t>
            </w:r>
            <w:r>
              <w:rPr>
                <w:rFonts w:hint="default" w:ascii="Times New Roman" w:hAnsi="Times New Roman" w:eastAsia="仿宋" w:cs="Times New Roman"/>
                <w:b/>
                <w:color w:val="auto"/>
                <w:kern w:val="0"/>
                <w:szCs w:val="21"/>
              </w:rPr>
              <w:t xml:space="preserve">  项目地表水环境敏感点一览表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537"/>
              <w:gridCol w:w="2050"/>
              <w:gridCol w:w="2051"/>
              <w:gridCol w:w="2056"/>
              <w:gridCol w:w="12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vMerge w:val="restart"/>
                  <w:tcBorders>
                    <w:top w:val="single" w:color="auto" w:sz="12" w:space="0"/>
                    <w:left w:val="nil"/>
                    <w:right w:val="single" w:color="auto" w:sz="6" w:space="0"/>
                  </w:tcBorders>
                  <w:vAlign w:val="center"/>
                </w:tcPr>
                <w:p>
                  <w:pPr>
                    <w:spacing w:line="280" w:lineRule="exact"/>
                    <w:jc w:val="center"/>
                    <w:rPr>
                      <w:rFonts w:hint="eastAsia" w:ascii="Times New Roman" w:hAnsi="Times New Roman" w:eastAsia="仿宋" w:cs="Times New Roman"/>
                      <w:b/>
                      <w:bCs w:val="0"/>
                      <w:color w:val="auto"/>
                      <w:kern w:val="0"/>
                      <w:szCs w:val="21"/>
                      <w:lang w:eastAsia="zh-CN"/>
                    </w:rPr>
                  </w:pPr>
                  <w:r>
                    <w:rPr>
                      <w:rFonts w:hint="eastAsia" w:eastAsia="仿宋" w:cs="Times New Roman"/>
                      <w:b/>
                      <w:bCs w:val="0"/>
                      <w:color w:val="auto"/>
                      <w:kern w:val="0"/>
                      <w:szCs w:val="21"/>
                      <w:lang w:val="en-US" w:eastAsia="zh-CN"/>
                    </w:rPr>
                    <w:t>时间</w:t>
                  </w:r>
                </w:p>
              </w:tc>
              <w:tc>
                <w:tcPr>
                  <w:tcW w:w="3444" w:type="pct"/>
                  <w:gridSpan w:val="3"/>
                  <w:tcBorders>
                    <w:top w:val="single" w:color="auto" w:sz="12"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b/>
                      <w:bCs w:val="0"/>
                      <w:color w:val="auto"/>
                      <w:kern w:val="0"/>
                      <w:szCs w:val="21"/>
                      <w:lang w:val="en-US" w:eastAsia="zh-CN"/>
                    </w:rPr>
                  </w:pPr>
                  <w:r>
                    <w:rPr>
                      <w:rFonts w:hint="eastAsia" w:eastAsia="仿宋" w:cs="Times New Roman"/>
                      <w:b/>
                      <w:bCs w:val="0"/>
                      <w:color w:val="auto"/>
                      <w:kern w:val="0"/>
                      <w:szCs w:val="21"/>
                      <w:lang w:val="en-US" w:eastAsia="zh-CN"/>
                    </w:rPr>
                    <w:t>断面</w:t>
                  </w:r>
                  <w:r>
                    <w:rPr>
                      <w:rFonts w:hint="eastAsia" w:eastAsia="仿宋" w:cs="Times New Roman"/>
                      <w:b/>
                      <w:color w:val="auto"/>
                      <w:kern w:val="0"/>
                      <w:szCs w:val="21"/>
                      <w:lang w:val="en-US" w:eastAsia="zh-CN"/>
                    </w:rPr>
                    <w:t>水质类别</w:t>
                  </w:r>
                </w:p>
              </w:tc>
              <w:tc>
                <w:tcPr>
                  <w:tcW w:w="694" w:type="pct"/>
                  <w:vMerge w:val="restart"/>
                  <w:tcBorders>
                    <w:top w:val="single" w:color="auto" w:sz="12" w:space="0"/>
                    <w:left w:val="single" w:color="auto" w:sz="6" w:space="0"/>
                    <w:right w:val="nil"/>
                  </w:tcBorders>
                  <w:vAlign w:val="center"/>
                </w:tcPr>
                <w:p>
                  <w:pPr>
                    <w:spacing w:line="280" w:lineRule="exact"/>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vMerge w:val="continue"/>
                  <w:tcBorders>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b/>
                      <w:bCs w:val="0"/>
                      <w:color w:val="auto"/>
                      <w:kern w:val="0"/>
                      <w:szCs w:val="21"/>
                      <w:lang w:eastAsia="zh-CN"/>
                    </w:rPr>
                  </w:pP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b/>
                      <w:bCs w:val="0"/>
                      <w:color w:val="auto"/>
                      <w:kern w:val="0"/>
                      <w:szCs w:val="21"/>
                      <w:lang w:val="en-US" w:eastAsia="zh-CN"/>
                    </w:rPr>
                  </w:pPr>
                  <w:r>
                    <w:rPr>
                      <w:rFonts w:hint="eastAsia" w:eastAsia="仿宋" w:cs="Times New Roman"/>
                      <w:b/>
                      <w:bCs w:val="0"/>
                      <w:color w:val="auto"/>
                      <w:kern w:val="0"/>
                      <w:szCs w:val="21"/>
                      <w:lang w:val="en-US" w:eastAsia="zh-CN"/>
                    </w:rPr>
                    <w:t>养生潭</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b/>
                      <w:bCs w:val="0"/>
                      <w:color w:val="auto"/>
                      <w:kern w:val="0"/>
                      <w:szCs w:val="21"/>
                      <w:lang w:val="en-US" w:eastAsia="zh-CN"/>
                    </w:rPr>
                  </w:pPr>
                  <w:r>
                    <w:rPr>
                      <w:rFonts w:hint="eastAsia" w:eastAsia="仿宋" w:cs="Times New Roman"/>
                      <w:b/>
                      <w:bCs w:val="0"/>
                      <w:color w:val="auto"/>
                      <w:kern w:val="0"/>
                      <w:szCs w:val="21"/>
                      <w:lang w:val="en-US" w:eastAsia="zh-CN"/>
                    </w:rPr>
                    <w:t>东榆</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b/>
                      <w:bCs w:val="0"/>
                      <w:color w:val="auto"/>
                      <w:kern w:val="0"/>
                      <w:szCs w:val="21"/>
                      <w:lang w:val="en-US" w:eastAsia="zh-CN"/>
                    </w:rPr>
                  </w:pPr>
                  <w:r>
                    <w:rPr>
                      <w:rFonts w:hint="eastAsia" w:eastAsia="仿宋" w:cs="Times New Roman"/>
                      <w:b/>
                      <w:bCs w:val="0"/>
                      <w:color w:val="auto"/>
                      <w:kern w:val="0"/>
                      <w:szCs w:val="21"/>
                      <w:lang w:val="en-US" w:eastAsia="zh-CN"/>
                    </w:rPr>
                    <w:t>元潭</w:t>
                  </w:r>
                </w:p>
              </w:tc>
              <w:tc>
                <w:tcPr>
                  <w:tcW w:w="694" w:type="pct"/>
                  <w:vMerge w:val="continue"/>
                  <w:tcBorders>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2023年1月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9"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80" w:lineRule="exact"/>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eastAsia"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2023年2月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III类</w:t>
                  </w:r>
                </w:p>
              </w:tc>
              <w:tc>
                <w:tcPr>
                  <w:tcW w:w="1149"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80" w:lineRule="exact"/>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Cs w:val="21"/>
                      <w:lang w:val="en-US" w:eastAsia="zh-CN"/>
                    </w:rPr>
                    <w:t>III类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2023年3月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52"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2023年4月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2023年5月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2023年6月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2023年7月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2023年8月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2023年9月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2023年10月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bottom w:val="single" w:color="auto" w:sz="6" w:space="0"/>
                    <w:right w:val="single" w:color="auto" w:sz="6" w:space="0"/>
                  </w:tcBorders>
                  <w:vAlign w:val="center"/>
                </w:tcPr>
                <w:p>
                  <w:pPr>
                    <w:spacing w:line="280" w:lineRule="exact"/>
                    <w:jc w:val="center"/>
                    <w:rPr>
                      <w:rFonts w:hint="eastAsia" w:ascii="Times New Roman" w:hAnsi="Times New Roman" w:eastAsia="仿宋" w:cs="Times New Roman"/>
                      <w:color w:val="auto"/>
                      <w:kern w:val="0"/>
                      <w:szCs w:val="21"/>
                      <w:lang w:eastAsia="zh-CN"/>
                    </w:rPr>
                  </w:pPr>
                  <w:r>
                    <w:rPr>
                      <w:rFonts w:hint="eastAsia" w:eastAsia="仿宋" w:cs="Times New Roman"/>
                      <w:color w:val="auto"/>
                      <w:kern w:val="0"/>
                      <w:szCs w:val="21"/>
                      <w:lang w:val="en-US" w:eastAsia="zh-CN"/>
                    </w:rPr>
                    <w:t>2023年11月</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1147"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9"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694" w:type="pct"/>
                  <w:tcBorders>
                    <w:top w:val="single" w:color="auto" w:sz="6" w:space="0"/>
                    <w:left w:val="single" w:color="auto" w:sz="6" w:space="0"/>
                    <w:bottom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60" w:type="pct"/>
                  <w:tcBorders>
                    <w:top w:val="single" w:color="auto" w:sz="6" w:space="0"/>
                    <w:left w:val="nil"/>
                    <w:right w:val="single" w:color="auto" w:sz="6" w:space="0"/>
                  </w:tcBorders>
                  <w:vAlign w:val="center"/>
                </w:tcPr>
                <w:p>
                  <w:pPr>
                    <w:spacing w:line="280" w:lineRule="exact"/>
                    <w:jc w:val="center"/>
                    <w:rPr>
                      <w:rFonts w:hint="eastAsia" w:eastAsia="仿宋" w:cs="Times New Roman"/>
                      <w:color w:val="auto"/>
                      <w:kern w:val="0"/>
                      <w:szCs w:val="21"/>
                      <w:lang w:val="en-US" w:eastAsia="zh-CN"/>
                    </w:rPr>
                  </w:pPr>
                  <w:r>
                    <w:rPr>
                      <w:rFonts w:hint="eastAsia" w:eastAsia="仿宋" w:cs="Times New Roman"/>
                      <w:color w:val="auto"/>
                      <w:kern w:val="0"/>
                      <w:szCs w:val="21"/>
                      <w:lang w:val="en-US" w:eastAsia="zh-CN"/>
                    </w:rPr>
                    <w:t>2023年12月</w:t>
                  </w:r>
                </w:p>
              </w:tc>
              <w:tc>
                <w:tcPr>
                  <w:tcW w:w="1147" w:type="pct"/>
                  <w:tcBorders>
                    <w:top w:val="single" w:color="auto" w:sz="6" w:space="0"/>
                    <w:left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1147" w:type="pct"/>
                  <w:tcBorders>
                    <w:top w:val="single" w:color="auto" w:sz="6" w:space="0"/>
                    <w:left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II类</w:t>
                  </w:r>
                </w:p>
              </w:tc>
              <w:tc>
                <w:tcPr>
                  <w:tcW w:w="1149" w:type="pct"/>
                  <w:tcBorders>
                    <w:top w:val="single" w:color="auto" w:sz="6" w:space="0"/>
                    <w:left w:val="single" w:color="auto" w:sz="6" w:space="0"/>
                    <w:right w:val="single" w:color="auto" w:sz="6" w:space="0"/>
                  </w:tcBorders>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I类</w:t>
                  </w:r>
                </w:p>
              </w:tc>
              <w:tc>
                <w:tcPr>
                  <w:tcW w:w="694" w:type="pct"/>
                  <w:tcBorders>
                    <w:top w:val="single" w:color="auto" w:sz="6" w:space="0"/>
                    <w:left w:val="single" w:color="auto" w:sz="6" w:space="0"/>
                    <w:right w:val="nil"/>
                  </w:tcBorders>
                  <w:vAlign w:val="center"/>
                </w:tcPr>
                <w:p>
                  <w:pPr>
                    <w:spacing w:line="280" w:lineRule="exact"/>
                    <w:jc w:val="center"/>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w:t>
                  </w:r>
                </w:p>
              </w:tc>
            </w:tr>
          </w:tbl>
          <w:p>
            <w:pPr>
              <w:adjustRightInd w:val="0"/>
              <w:snapToGrid w:val="0"/>
              <w:spacing w:line="360" w:lineRule="auto"/>
              <w:ind w:firstLine="480" w:firstLineChars="200"/>
              <w:rPr>
                <w:rFonts w:hint="default" w:ascii="Times New Roman" w:hAnsi="Times New Roman" w:eastAsia="仿宋" w:cs="Times New Roman"/>
                <w:b/>
                <w:bCs/>
                <w:color w:val="auto"/>
                <w:sz w:val="24"/>
              </w:rPr>
            </w:pPr>
            <w:r>
              <w:rPr>
                <w:rFonts w:hint="eastAsia" w:eastAsia="仿宋" w:cs="Times New Roman"/>
                <w:b w:val="0"/>
                <w:bCs w:val="0"/>
                <w:color w:val="auto"/>
                <w:sz w:val="24"/>
                <w:lang w:val="en-US" w:eastAsia="zh-CN"/>
              </w:rPr>
              <w:t>由上表监测监测结果可知，2023年南江河的养生潭断面水质在1、2、3、6、10月份达到国家地表水水质Ⅱ类标准，其它时段均达到国家地表水水质Ⅰ类标准；南江河的东榆断面水质在2、5、6、7、8月份达到国家地表水水质Ⅲ类标准，其它时段均达到国家地表水水质Ⅱ类标准；南江河的元潭断面水质在2、6月份达到国家地表水水质Ⅲ类标准，在1、3、4、5、10、11月份达到国家地表水水质Ⅱ类标准，其它时段均达到国家地表水水质Ⅰ类标准。</w:t>
            </w:r>
          </w:p>
          <w:p>
            <w:pPr>
              <w:adjustRightInd w:val="0"/>
              <w:snapToGrid w:val="0"/>
              <w:spacing w:line="360" w:lineRule="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3、环境空气现状</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按照《环境影响评价技术导则大气环境》（HJ2.2-2008）6.2.1.1款“优先采用国家或地方生态环境主管部门公开发布的评价基准年环境质量公告或环境质量报告中数据或结论”的要求，采用</w:t>
            </w:r>
            <w:r>
              <w:rPr>
                <w:rFonts w:hint="eastAsia" w:eastAsia="仿宋" w:cs="Times New Roman"/>
                <w:color w:val="auto"/>
                <w:sz w:val="24"/>
                <w:lang w:eastAsia="zh-CN"/>
              </w:rPr>
              <w:t>巴中市</w:t>
            </w:r>
            <w:r>
              <w:rPr>
                <w:rFonts w:hint="eastAsia" w:eastAsia="仿宋" w:cs="Times New Roman"/>
                <w:color w:val="auto"/>
                <w:sz w:val="24"/>
                <w:lang w:val="en-US" w:eastAsia="zh-CN"/>
              </w:rPr>
              <w:t>南江</w:t>
            </w:r>
            <w:r>
              <w:rPr>
                <w:rFonts w:hint="default" w:ascii="Times New Roman" w:hAnsi="Times New Roman" w:eastAsia="仿宋" w:cs="Times New Roman"/>
                <w:color w:val="auto"/>
                <w:sz w:val="24"/>
              </w:rPr>
              <w:t>生态环境局于202</w:t>
            </w:r>
            <w:r>
              <w:rPr>
                <w:rFonts w:hint="eastAsia" w:eastAsia="仿宋" w:cs="Times New Roman"/>
                <w:color w:val="auto"/>
                <w:sz w:val="24"/>
                <w:lang w:val="en-US" w:eastAsia="zh-CN"/>
              </w:rPr>
              <w:t>4</w:t>
            </w:r>
            <w:r>
              <w:rPr>
                <w:rFonts w:hint="default" w:ascii="Times New Roman" w:hAnsi="Times New Roman" w:eastAsia="仿宋" w:cs="Times New Roman"/>
                <w:color w:val="auto"/>
                <w:sz w:val="24"/>
              </w:rPr>
              <w:t>年</w:t>
            </w:r>
            <w:r>
              <w:rPr>
                <w:rFonts w:hint="eastAsia" w:eastAsia="仿宋" w:cs="Times New Roman"/>
                <w:color w:val="auto"/>
                <w:sz w:val="24"/>
                <w:lang w:val="en-US" w:eastAsia="zh-CN"/>
              </w:rPr>
              <w:t>1</w:t>
            </w:r>
            <w:r>
              <w:rPr>
                <w:rFonts w:hint="default" w:ascii="Times New Roman" w:hAnsi="Times New Roman" w:eastAsia="仿宋" w:cs="Times New Roman"/>
                <w:color w:val="auto"/>
                <w:sz w:val="24"/>
              </w:rPr>
              <w:t>月</w:t>
            </w:r>
            <w:r>
              <w:rPr>
                <w:rFonts w:hint="eastAsia" w:eastAsia="仿宋" w:cs="Times New Roman"/>
                <w:color w:val="auto"/>
                <w:sz w:val="24"/>
                <w:lang w:val="en-US" w:eastAsia="zh-CN"/>
              </w:rPr>
              <w:t>3</w:t>
            </w:r>
            <w:r>
              <w:rPr>
                <w:rFonts w:hint="default" w:ascii="Times New Roman" w:hAnsi="Times New Roman" w:eastAsia="仿宋" w:cs="Times New Roman"/>
                <w:color w:val="auto"/>
                <w:sz w:val="24"/>
              </w:rPr>
              <w:t>日发布的《南江县二O二三年环境质量公告》（https://www.scnj.gov.cn/public/6598111/13916061.html）</w:t>
            </w:r>
            <w:r>
              <w:rPr>
                <w:rFonts w:hint="eastAsia" w:ascii="Times New Roman" w:hAnsi="Times New Roman" w:eastAsia="仿宋" w:cs="Times New Roman"/>
                <w:color w:val="auto"/>
                <w:sz w:val="24"/>
                <w:lang w:val="en-US" w:eastAsia="zh-CN"/>
              </w:rPr>
              <w:t>中</w:t>
            </w:r>
            <w:r>
              <w:rPr>
                <w:rFonts w:hint="default" w:ascii="Times New Roman" w:hAnsi="Times New Roman" w:eastAsia="仿宋" w:cs="Times New Roman"/>
                <w:color w:val="auto"/>
                <w:sz w:val="24"/>
              </w:rPr>
              <w:t>数据来评价本项目所在区域环境质量达标情况。</w:t>
            </w:r>
          </w:p>
          <w:p>
            <w:pPr>
              <w:spacing w:line="360" w:lineRule="auto"/>
              <w:ind w:firstLine="468" w:firstLineChars="195"/>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rPr>
              <w:t>本项目所在区域环境空气质量功能为二类区域，执行《环境空气质量标准》（GB3095-2012）中二级标准要求。</w:t>
            </w:r>
            <w:r>
              <w:rPr>
                <w:rFonts w:hint="default" w:ascii="Times New Roman" w:hAnsi="Times New Roman" w:eastAsia="仿宋" w:cs="Times New Roman"/>
                <w:bCs/>
                <w:color w:val="auto"/>
                <w:sz w:val="24"/>
              </w:rPr>
              <w:t>本项目引用</w:t>
            </w:r>
            <w:r>
              <w:rPr>
                <w:rFonts w:hint="eastAsia" w:eastAsia="仿宋" w:cs="Times New Roman"/>
                <w:color w:val="auto"/>
                <w:sz w:val="24"/>
                <w:lang w:eastAsia="zh-CN"/>
              </w:rPr>
              <w:t>《</w:t>
            </w:r>
            <w:r>
              <w:rPr>
                <w:rFonts w:hint="default" w:ascii="Times New Roman" w:hAnsi="Times New Roman" w:eastAsia="仿宋" w:cs="Times New Roman"/>
                <w:color w:val="auto"/>
                <w:sz w:val="24"/>
              </w:rPr>
              <w:t>南江县二O二三年环境质量公告》</w:t>
            </w:r>
            <w:r>
              <w:rPr>
                <w:rFonts w:hint="default" w:ascii="Times New Roman" w:hAnsi="Times New Roman" w:eastAsia="仿宋" w:cs="Times New Roman"/>
                <w:bCs/>
                <w:color w:val="auto"/>
                <w:sz w:val="24"/>
              </w:rPr>
              <w:t>中常规监测数据作为依据评价项目区域空气环境质量现状。</w:t>
            </w:r>
          </w:p>
          <w:p>
            <w:pPr>
              <w:spacing w:line="360" w:lineRule="auto"/>
              <w:jc w:val="center"/>
              <w:rPr>
                <w:rFonts w:hint="eastAsia" w:ascii="Times New Roman" w:hAnsi="Times New Roman" w:eastAsia="仿宋" w:cs="Times New Roman"/>
                <w:b/>
                <w:color w:val="auto"/>
                <w:kern w:val="0"/>
                <w:szCs w:val="21"/>
                <w:lang w:val="en-US" w:eastAsia="zh-CN"/>
              </w:rPr>
            </w:pPr>
            <w:r>
              <w:rPr>
                <w:rFonts w:hint="default" w:ascii="Times New Roman" w:hAnsi="Times New Roman" w:eastAsia="仿宋" w:cs="Times New Roman"/>
                <w:b/>
                <w:color w:val="auto"/>
                <w:kern w:val="0"/>
                <w:szCs w:val="21"/>
              </w:rPr>
              <w:t>表3-</w:t>
            </w:r>
            <w:r>
              <w:rPr>
                <w:rFonts w:hint="eastAsia" w:eastAsia="仿宋" w:cs="Times New Roman"/>
                <w:b/>
                <w:color w:val="auto"/>
                <w:kern w:val="0"/>
                <w:szCs w:val="21"/>
                <w:lang w:val="en-US" w:eastAsia="zh-CN"/>
              </w:rPr>
              <w:t>2南江县</w:t>
            </w:r>
            <w:r>
              <w:rPr>
                <w:rFonts w:hint="default" w:ascii="Times New Roman" w:hAnsi="Times New Roman" w:eastAsia="仿宋" w:cs="Times New Roman"/>
                <w:b/>
                <w:color w:val="auto"/>
                <w:kern w:val="0"/>
                <w:szCs w:val="21"/>
              </w:rPr>
              <w:t>环境质量状况</w:t>
            </w:r>
            <w:r>
              <w:rPr>
                <w:rFonts w:hint="eastAsia" w:ascii="Times New Roman" w:hAnsi="Times New Roman" w:eastAsia="仿宋" w:cs="Times New Roman"/>
                <w:b/>
                <w:color w:val="auto"/>
                <w:kern w:val="0"/>
                <w:szCs w:val="21"/>
                <w:lang w:val="en-US" w:eastAsia="zh-CN"/>
              </w:rPr>
              <w:t>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893"/>
              <w:gridCol w:w="1867"/>
              <w:gridCol w:w="1818"/>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污染物</w:t>
                  </w:r>
                </w:p>
              </w:tc>
              <w:tc>
                <w:tcPr>
                  <w:tcW w:w="1618"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年评价指标</w:t>
                  </w:r>
                </w:p>
              </w:tc>
              <w:tc>
                <w:tcPr>
                  <w:tcW w:w="1044"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现状浓度</w:t>
                  </w:r>
                </w:p>
              </w:tc>
              <w:tc>
                <w:tcPr>
                  <w:tcW w:w="1017"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标准值</w:t>
                  </w:r>
                </w:p>
              </w:tc>
              <w:tc>
                <w:tcPr>
                  <w:tcW w:w="656"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3"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PM</w:t>
                  </w:r>
                  <w:r>
                    <w:rPr>
                      <w:rFonts w:hint="default" w:ascii="Times New Roman" w:hAnsi="Times New Roman" w:eastAsia="仿宋" w:cs="Times New Roman"/>
                      <w:color w:val="auto"/>
                      <w:kern w:val="0"/>
                      <w:szCs w:val="21"/>
                      <w:vertAlign w:val="subscript"/>
                      <w:lang w:val="en-US" w:eastAsia="zh-CN"/>
                    </w:rPr>
                    <w:t>10</w:t>
                  </w:r>
                </w:p>
              </w:tc>
              <w:tc>
                <w:tcPr>
                  <w:tcW w:w="1618"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年平均浓度</w:t>
                  </w:r>
                </w:p>
              </w:tc>
              <w:tc>
                <w:tcPr>
                  <w:tcW w:w="1044"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46.5μg/m</w:t>
                  </w:r>
                  <w:r>
                    <w:rPr>
                      <w:rFonts w:hint="default" w:ascii="Times New Roman" w:hAnsi="Times New Roman" w:eastAsia="仿宋" w:cs="Times New Roman"/>
                      <w:color w:val="auto"/>
                      <w:kern w:val="0"/>
                      <w:szCs w:val="21"/>
                      <w:vertAlign w:val="superscript"/>
                      <w:lang w:val="en-US" w:eastAsia="zh-CN"/>
                    </w:rPr>
                    <w:t>3</w:t>
                  </w:r>
                </w:p>
              </w:tc>
              <w:tc>
                <w:tcPr>
                  <w:tcW w:w="1017"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70μg/m</w:t>
                  </w:r>
                  <w:r>
                    <w:rPr>
                      <w:rFonts w:hint="default" w:ascii="Times New Roman" w:hAnsi="Times New Roman" w:eastAsia="仿宋" w:cs="Times New Roman"/>
                      <w:color w:val="auto"/>
                      <w:kern w:val="0"/>
                      <w:szCs w:val="21"/>
                      <w:vertAlign w:val="superscript"/>
                      <w:lang w:val="en-US" w:eastAsia="zh-CN"/>
                    </w:rPr>
                    <w:t>3</w:t>
                  </w:r>
                </w:p>
              </w:tc>
              <w:tc>
                <w:tcPr>
                  <w:tcW w:w="656"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3"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PM</w:t>
                  </w:r>
                  <w:r>
                    <w:rPr>
                      <w:rFonts w:hint="default" w:ascii="Times New Roman" w:hAnsi="Times New Roman" w:eastAsia="仿宋" w:cs="Times New Roman"/>
                      <w:color w:val="auto"/>
                      <w:kern w:val="0"/>
                      <w:szCs w:val="21"/>
                      <w:vertAlign w:val="subscript"/>
                      <w:lang w:val="en-US" w:eastAsia="zh-CN"/>
                    </w:rPr>
                    <w:t>2.5</w:t>
                  </w:r>
                </w:p>
              </w:tc>
              <w:tc>
                <w:tcPr>
                  <w:tcW w:w="1618"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年平均浓度</w:t>
                  </w:r>
                </w:p>
              </w:tc>
              <w:tc>
                <w:tcPr>
                  <w:tcW w:w="1044"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25.2μg/m</w:t>
                  </w:r>
                  <w:r>
                    <w:rPr>
                      <w:rFonts w:hint="default" w:ascii="Times New Roman" w:hAnsi="Times New Roman" w:eastAsia="仿宋" w:cs="Times New Roman"/>
                      <w:color w:val="auto"/>
                      <w:kern w:val="0"/>
                      <w:szCs w:val="21"/>
                      <w:vertAlign w:val="superscript"/>
                      <w:lang w:val="en-US" w:eastAsia="zh-CN"/>
                    </w:rPr>
                    <w:t>3</w:t>
                  </w:r>
                </w:p>
              </w:tc>
              <w:tc>
                <w:tcPr>
                  <w:tcW w:w="1017"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35μg/m</w:t>
                  </w:r>
                  <w:r>
                    <w:rPr>
                      <w:rFonts w:hint="default" w:ascii="Times New Roman" w:hAnsi="Times New Roman" w:eastAsia="仿宋" w:cs="Times New Roman"/>
                      <w:color w:val="auto"/>
                      <w:kern w:val="0"/>
                      <w:szCs w:val="21"/>
                      <w:vertAlign w:val="superscript"/>
                      <w:lang w:val="en-US" w:eastAsia="zh-CN"/>
                    </w:rPr>
                    <w:t>3</w:t>
                  </w:r>
                </w:p>
              </w:tc>
              <w:tc>
                <w:tcPr>
                  <w:tcW w:w="656"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3"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SO</w:t>
                  </w:r>
                  <w:r>
                    <w:rPr>
                      <w:rFonts w:hint="default" w:ascii="Times New Roman" w:hAnsi="Times New Roman" w:eastAsia="仿宋" w:cs="Times New Roman"/>
                      <w:color w:val="auto"/>
                      <w:kern w:val="0"/>
                      <w:szCs w:val="21"/>
                      <w:vertAlign w:val="subscript"/>
                      <w:lang w:val="en-US" w:eastAsia="zh-CN"/>
                    </w:rPr>
                    <w:t>2</w:t>
                  </w:r>
                </w:p>
              </w:tc>
              <w:tc>
                <w:tcPr>
                  <w:tcW w:w="1618"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年平均浓度</w:t>
                  </w:r>
                </w:p>
              </w:tc>
              <w:tc>
                <w:tcPr>
                  <w:tcW w:w="1044"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4.3μg/m</w:t>
                  </w:r>
                  <w:r>
                    <w:rPr>
                      <w:rFonts w:hint="default" w:ascii="Times New Roman" w:hAnsi="Times New Roman" w:eastAsia="仿宋" w:cs="Times New Roman"/>
                      <w:color w:val="auto"/>
                      <w:kern w:val="0"/>
                      <w:szCs w:val="21"/>
                      <w:vertAlign w:val="superscript"/>
                      <w:lang w:val="en-US" w:eastAsia="zh-CN"/>
                    </w:rPr>
                    <w:t>3</w:t>
                  </w:r>
                </w:p>
              </w:tc>
              <w:tc>
                <w:tcPr>
                  <w:tcW w:w="1017"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60μg/m</w:t>
                  </w:r>
                  <w:r>
                    <w:rPr>
                      <w:rFonts w:hint="default" w:ascii="Times New Roman" w:hAnsi="Times New Roman" w:eastAsia="仿宋" w:cs="Times New Roman"/>
                      <w:color w:val="auto"/>
                      <w:kern w:val="0"/>
                      <w:szCs w:val="21"/>
                      <w:vertAlign w:val="superscript"/>
                      <w:lang w:val="en-US" w:eastAsia="zh-CN"/>
                    </w:rPr>
                    <w:t>3</w:t>
                  </w:r>
                </w:p>
              </w:tc>
              <w:tc>
                <w:tcPr>
                  <w:tcW w:w="656"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3"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NO</w:t>
                  </w:r>
                  <w:r>
                    <w:rPr>
                      <w:rFonts w:hint="default" w:ascii="Times New Roman" w:hAnsi="Times New Roman" w:eastAsia="仿宋" w:cs="Times New Roman"/>
                      <w:color w:val="auto"/>
                      <w:kern w:val="0"/>
                      <w:szCs w:val="21"/>
                      <w:vertAlign w:val="subscript"/>
                      <w:lang w:val="en-US" w:eastAsia="zh-CN"/>
                    </w:rPr>
                    <w:t>2</w:t>
                  </w:r>
                </w:p>
              </w:tc>
              <w:tc>
                <w:tcPr>
                  <w:tcW w:w="1618"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年平均浓度</w:t>
                  </w:r>
                </w:p>
              </w:tc>
              <w:tc>
                <w:tcPr>
                  <w:tcW w:w="1044"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24.9μg/m</w:t>
                  </w:r>
                  <w:r>
                    <w:rPr>
                      <w:rFonts w:hint="default" w:ascii="Times New Roman" w:hAnsi="Times New Roman" w:eastAsia="仿宋" w:cs="Times New Roman"/>
                      <w:color w:val="auto"/>
                      <w:kern w:val="0"/>
                      <w:szCs w:val="21"/>
                      <w:vertAlign w:val="superscript"/>
                      <w:lang w:val="en-US" w:eastAsia="zh-CN"/>
                    </w:rPr>
                    <w:t>3</w:t>
                  </w:r>
                </w:p>
              </w:tc>
              <w:tc>
                <w:tcPr>
                  <w:tcW w:w="1017"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40μg/m</w:t>
                  </w:r>
                  <w:r>
                    <w:rPr>
                      <w:rFonts w:hint="default" w:ascii="Times New Roman" w:hAnsi="Times New Roman" w:eastAsia="仿宋" w:cs="Times New Roman"/>
                      <w:color w:val="auto"/>
                      <w:kern w:val="0"/>
                      <w:szCs w:val="21"/>
                      <w:vertAlign w:val="superscript"/>
                      <w:lang w:val="en-US" w:eastAsia="zh-CN"/>
                    </w:rPr>
                    <w:t>3</w:t>
                  </w:r>
                </w:p>
              </w:tc>
              <w:tc>
                <w:tcPr>
                  <w:tcW w:w="656"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3"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O</w:t>
                  </w:r>
                  <w:r>
                    <w:rPr>
                      <w:rFonts w:hint="default" w:ascii="Times New Roman" w:hAnsi="Times New Roman" w:eastAsia="仿宋" w:cs="Times New Roman"/>
                      <w:color w:val="auto"/>
                      <w:kern w:val="0"/>
                      <w:szCs w:val="21"/>
                      <w:vertAlign w:val="subscript"/>
                      <w:lang w:val="en-US" w:eastAsia="zh-CN"/>
                    </w:rPr>
                    <w:t>3</w:t>
                  </w:r>
                </w:p>
              </w:tc>
              <w:tc>
                <w:tcPr>
                  <w:tcW w:w="1618"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第90百分位数8h平均浓度</w:t>
                  </w:r>
                </w:p>
              </w:tc>
              <w:tc>
                <w:tcPr>
                  <w:tcW w:w="1044"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124.6μg/m</w:t>
                  </w:r>
                  <w:r>
                    <w:rPr>
                      <w:rFonts w:hint="default" w:ascii="Times New Roman" w:hAnsi="Times New Roman" w:eastAsia="仿宋" w:cs="Times New Roman"/>
                      <w:color w:val="auto"/>
                      <w:kern w:val="0"/>
                      <w:szCs w:val="21"/>
                      <w:vertAlign w:val="superscript"/>
                      <w:lang w:val="en-US" w:eastAsia="zh-CN"/>
                    </w:rPr>
                    <w:t>3</w:t>
                  </w:r>
                </w:p>
              </w:tc>
              <w:tc>
                <w:tcPr>
                  <w:tcW w:w="1017"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160μg/m</w:t>
                  </w:r>
                  <w:r>
                    <w:rPr>
                      <w:rFonts w:hint="default" w:ascii="Times New Roman" w:hAnsi="Times New Roman" w:eastAsia="仿宋" w:cs="Times New Roman"/>
                      <w:color w:val="auto"/>
                      <w:kern w:val="0"/>
                      <w:szCs w:val="21"/>
                      <w:vertAlign w:val="superscript"/>
                      <w:lang w:val="en-US" w:eastAsia="zh-CN"/>
                    </w:rPr>
                    <w:t>3</w:t>
                  </w:r>
                </w:p>
              </w:tc>
              <w:tc>
                <w:tcPr>
                  <w:tcW w:w="656"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63"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CO</w:t>
                  </w:r>
                </w:p>
              </w:tc>
              <w:tc>
                <w:tcPr>
                  <w:tcW w:w="1618"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第95百分位数日平均浓度</w:t>
                  </w:r>
                </w:p>
              </w:tc>
              <w:tc>
                <w:tcPr>
                  <w:tcW w:w="1044"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1.2mg/m</w:t>
                  </w:r>
                  <w:r>
                    <w:rPr>
                      <w:rFonts w:hint="default" w:ascii="Times New Roman" w:hAnsi="Times New Roman" w:eastAsia="仿宋" w:cs="Times New Roman"/>
                      <w:color w:val="auto"/>
                      <w:kern w:val="0"/>
                      <w:szCs w:val="21"/>
                      <w:vertAlign w:val="superscript"/>
                      <w:lang w:val="en-US" w:eastAsia="zh-CN"/>
                    </w:rPr>
                    <w:t>3</w:t>
                  </w:r>
                </w:p>
              </w:tc>
              <w:tc>
                <w:tcPr>
                  <w:tcW w:w="1017"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4mg/m</w:t>
                  </w:r>
                  <w:r>
                    <w:rPr>
                      <w:rFonts w:hint="default" w:ascii="Times New Roman" w:hAnsi="Times New Roman" w:eastAsia="仿宋" w:cs="Times New Roman"/>
                      <w:color w:val="auto"/>
                      <w:kern w:val="0"/>
                      <w:szCs w:val="21"/>
                      <w:vertAlign w:val="superscript"/>
                      <w:lang w:val="en-US" w:eastAsia="zh-CN"/>
                    </w:rPr>
                    <w:t>3</w:t>
                  </w:r>
                </w:p>
              </w:tc>
              <w:tc>
                <w:tcPr>
                  <w:tcW w:w="656" w:type="pct"/>
                  <w:vAlign w:val="center"/>
                </w:tcPr>
                <w:p>
                  <w:pPr>
                    <w:spacing w:line="280" w:lineRule="exact"/>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达标</w:t>
                  </w:r>
                </w:p>
              </w:tc>
            </w:tr>
          </w:tbl>
          <w:p>
            <w:pPr>
              <w:pStyle w:val="28"/>
              <w:spacing w:line="360" w:lineRule="auto"/>
              <w:ind w:firstLine="480" w:firstLineChars="200"/>
              <w:jc w:val="both"/>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rPr>
              <w:t>由上表可知，</w:t>
            </w:r>
            <w:r>
              <w:rPr>
                <w:rFonts w:hint="eastAsia" w:ascii="Times New Roman" w:eastAsia="仿宋" w:cs="Times New Roman"/>
                <w:color w:val="auto"/>
                <w:sz w:val="24"/>
                <w:lang w:val="en-US" w:eastAsia="zh-CN"/>
              </w:rPr>
              <w:t>项目区域SO</w:t>
            </w:r>
            <w:r>
              <w:rPr>
                <w:rFonts w:hint="eastAsia" w:ascii="Times New Roman" w:eastAsia="仿宋" w:cs="Times New Roman"/>
                <w:color w:val="auto"/>
                <w:sz w:val="24"/>
                <w:vertAlign w:val="subscript"/>
                <w:lang w:val="en-US" w:eastAsia="zh-CN"/>
              </w:rPr>
              <w:t>2</w:t>
            </w:r>
            <w:r>
              <w:rPr>
                <w:rFonts w:hint="eastAsia" w:ascii="Times New Roman" w:eastAsia="仿宋" w:cs="Times New Roman"/>
                <w:color w:val="auto"/>
                <w:sz w:val="24"/>
                <w:lang w:val="en-US" w:eastAsia="zh-CN"/>
              </w:rPr>
              <w:t>年均浓度、NO</w:t>
            </w:r>
            <w:r>
              <w:rPr>
                <w:rFonts w:hint="eastAsia" w:ascii="Times New Roman" w:eastAsia="仿宋" w:cs="Times New Roman"/>
                <w:color w:val="auto"/>
                <w:sz w:val="24"/>
                <w:vertAlign w:val="subscript"/>
                <w:lang w:val="en-US" w:eastAsia="zh-CN"/>
              </w:rPr>
              <w:t>2</w:t>
            </w:r>
            <w:r>
              <w:rPr>
                <w:rFonts w:hint="eastAsia" w:ascii="Times New Roman" w:eastAsia="仿宋" w:cs="Times New Roman"/>
                <w:color w:val="auto"/>
                <w:sz w:val="24"/>
                <w:lang w:val="en-US" w:eastAsia="zh-CN"/>
              </w:rPr>
              <w:t>年均浓度、CO日均浓度、PM</w:t>
            </w:r>
            <w:r>
              <w:rPr>
                <w:rFonts w:hint="eastAsia" w:ascii="Times New Roman" w:eastAsia="仿宋" w:cs="Times New Roman"/>
                <w:color w:val="auto"/>
                <w:sz w:val="24"/>
                <w:vertAlign w:val="subscript"/>
                <w:lang w:val="en-US" w:eastAsia="zh-CN"/>
              </w:rPr>
              <w:t>2.5</w:t>
            </w:r>
            <w:r>
              <w:rPr>
                <w:rFonts w:hint="eastAsia" w:ascii="Times New Roman" w:eastAsia="仿宋" w:cs="Times New Roman"/>
                <w:color w:val="auto"/>
                <w:sz w:val="24"/>
                <w:lang w:val="en-US" w:eastAsia="zh-CN"/>
              </w:rPr>
              <w:t>年均浓度、PM</w:t>
            </w:r>
            <w:r>
              <w:rPr>
                <w:rFonts w:hint="eastAsia" w:ascii="Times New Roman" w:eastAsia="仿宋" w:cs="Times New Roman"/>
                <w:color w:val="auto"/>
                <w:sz w:val="24"/>
                <w:vertAlign w:val="subscript"/>
                <w:lang w:val="en-US" w:eastAsia="zh-CN"/>
              </w:rPr>
              <w:t>10</w:t>
            </w:r>
            <w:r>
              <w:rPr>
                <w:rFonts w:hint="eastAsia" w:ascii="Times New Roman" w:eastAsia="仿宋" w:cs="Times New Roman"/>
                <w:color w:val="auto"/>
                <w:sz w:val="24"/>
                <w:lang w:val="en-US" w:eastAsia="zh-CN"/>
              </w:rPr>
              <w:t>年均浓度和O</w:t>
            </w:r>
            <w:r>
              <w:rPr>
                <w:rFonts w:hint="eastAsia" w:ascii="Times New Roman" w:eastAsia="仿宋" w:cs="Times New Roman"/>
                <w:color w:val="auto"/>
                <w:sz w:val="24"/>
                <w:vertAlign w:val="subscript"/>
                <w:lang w:val="en-US" w:eastAsia="zh-CN"/>
              </w:rPr>
              <w:t>3</w:t>
            </w:r>
            <w:r>
              <w:rPr>
                <w:rFonts w:hint="eastAsia" w:ascii="Times New Roman" w:eastAsia="仿宋" w:cs="Times New Roman"/>
                <w:color w:val="auto"/>
                <w:sz w:val="24"/>
                <w:lang w:val="en-US" w:eastAsia="zh-CN"/>
              </w:rPr>
              <w:t>日最大8小时浓度均能满足《环境空气质量标准》（GB3095-2012）二级标准要求，故项目所在地为达标区。</w:t>
            </w:r>
          </w:p>
          <w:p>
            <w:pPr>
              <w:adjustRightInd w:val="0"/>
              <w:snapToGrid w:val="0"/>
              <w:spacing w:line="360" w:lineRule="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4、声环境现状</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所在地声环境功能区划为1类区，声环境质量应满足《声环境质量标准》（GB3096-2008）1类区标准。为了解项目所在地声环境质量现状，本项目按照《声环境质量标准》（GB3096-2008）的有关规定对项目所在地声环境质量进行了监测。</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（1）监测点位布置</w:t>
            </w:r>
          </w:p>
          <w:p>
            <w:pPr>
              <w:adjustRightInd w:val="0"/>
              <w:snapToGrid w:val="0"/>
              <w:spacing w:line="360" w:lineRule="auto"/>
              <w:ind w:firstLine="480" w:firstLineChars="200"/>
              <w:jc w:val="both"/>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按照《环境影响评价技术导则 声环境》（</w:t>
            </w:r>
            <w:r>
              <w:rPr>
                <w:rFonts w:hint="eastAsia" w:eastAsia="仿宋" w:cs="Times New Roman"/>
                <w:color w:val="auto"/>
                <w:sz w:val="24"/>
                <w:lang w:eastAsia="zh-CN"/>
              </w:rPr>
              <w:t>HJ 2.4-2021</w:t>
            </w:r>
            <w:r>
              <w:rPr>
                <w:rFonts w:hint="default" w:ascii="Times New Roman" w:hAnsi="Times New Roman" w:eastAsia="仿宋" w:cs="Times New Roman"/>
                <w:color w:val="auto"/>
                <w:sz w:val="24"/>
              </w:rPr>
              <w:t>）中有关规定，</w:t>
            </w:r>
            <w:r>
              <w:rPr>
                <w:rFonts w:hint="eastAsia" w:eastAsia="仿宋" w:cs="Times New Roman"/>
                <w:color w:val="auto"/>
                <w:sz w:val="24"/>
                <w:lang w:val="en-US" w:eastAsia="zh-CN"/>
              </w:rPr>
              <w:t>本次环评对升压站站址和风机最近敏感点处的噪声值进行了监测，布设7个监测点</w:t>
            </w:r>
            <w:r>
              <w:rPr>
                <w:rFonts w:hint="default" w:ascii="Times New Roman" w:hAnsi="Times New Roman" w:eastAsia="仿宋" w:cs="Times New Roman"/>
                <w:color w:val="auto"/>
                <w:sz w:val="24"/>
              </w:rPr>
              <w:t>。根据本报告风机预测结果，并结合《环境影响评价技术导则 声环境》（HJ2.4-2009）中的相关内容：“如依据建设项目声源计算得到的贡献值到200m处，仍不能满足相应功能区标准值时，应将评价范围扩大到满足标准值的距离。”本环评根据预测结果选取风电机组周边</w:t>
            </w:r>
            <w:r>
              <w:rPr>
                <w:rFonts w:hint="eastAsia" w:eastAsia="仿宋" w:cs="Times New Roman"/>
                <w:color w:val="auto"/>
                <w:sz w:val="24"/>
                <w:lang w:val="en-US" w:eastAsia="zh-CN"/>
              </w:rPr>
              <w:t>510</w:t>
            </w:r>
            <w:r>
              <w:rPr>
                <w:rFonts w:hint="eastAsia" w:eastAsia="仿宋" w:cs="Times New Roman"/>
                <w:color w:val="auto"/>
                <w:sz w:val="24"/>
                <w:lang w:eastAsia="zh-CN"/>
              </w:rPr>
              <w:t>m</w:t>
            </w:r>
            <w:r>
              <w:rPr>
                <w:rFonts w:hint="default" w:ascii="Times New Roman" w:hAnsi="Times New Roman" w:eastAsia="仿宋" w:cs="Times New Roman"/>
                <w:color w:val="auto"/>
                <w:sz w:val="24"/>
              </w:rPr>
              <w:t>范围内的区域为风机声环境影响评价范围</w:t>
            </w:r>
            <w:r>
              <w:rPr>
                <w:rFonts w:hint="eastAsia" w:eastAsia="仿宋" w:cs="Times New Roman"/>
                <w:color w:val="auto"/>
                <w:sz w:val="24"/>
                <w:lang w:eastAsia="zh-CN"/>
              </w:rPr>
              <w:t>、</w:t>
            </w:r>
            <w:r>
              <w:rPr>
                <w:rFonts w:hint="eastAsia" w:eastAsia="仿宋" w:cs="Times New Roman"/>
                <w:color w:val="auto"/>
                <w:sz w:val="24"/>
                <w:lang w:val="en-US" w:eastAsia="zh-CN"/>
              </w:rPr>
              <w:t>升压站周边50m范围</w:t>
            </w:r>
            <w:r>
              <w:rPr>
                <w:rFonts w:hint="default" w:ascii="Times New Roman" w:hAnsi="Times New Roman" w:eastAsia="仿宋" w:cs="Times New Roman"/>
                <w:color w:val="auto"/>
                <w:sz w:val="24"/>
              </w:rPr>
              <w:t>内的区域为</w:t>
            </w:r>
            <w:r>
              <w:rPr>
                <w:rFonts w:hint="eastAsia" w:eastAsia="仿宋" w:cs="Times New Roman"/>
                <w:color w:val="auto"/>
                <w:sz w:val="24"/>
                <w:lang w:val="en-US" w:eastAsia="zh-CN"/>
              </w:rPr>
              <w:t>升压站</w:t>
            </w:r>
            <w:r>
              <w:rPr>
                <w:rFonts w:hint="default" w:ascii="Times New Roman" w:hAnsi="Times New Roman" w:eastAsia="仿宋" w:cs="Times New Roman"/>
                <w:color w:val="auto"/>
                <w:sz w:val="24"/>
              </w:rPr>
              <w:t>声环境影响评价范围。</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（2）监测时段和频次、方法及因子</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监测时间：</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202</w:t>
            </w:r>
            <w:r>
              <w:rPr>
                <w:rFonts w:hint="eastAsia" w:eastAsia="仿宋" w:cs="Times New Roman"/>
                <w:color w:val="auto"/>
                <w:sz w:val="24"/>
                <w:lang w:val="en-US" w:eastAsia="zh-CN"/>
              </w:rPr>
              <w:t>4</w:t>
            </w:r>
            <w:r>
              <w:rPr>
                <w:rFonts w:hint="default" w:ascii="Times New Roman" w:hAnsi="Times New Roman" w:eastAsia="仿宋" w:cs="Times New Roman"/>
                <w:color w:val="auto"/>
                <w:sz w:val="24"/>
              </w:rPr>
              <w:t>年</w:t>
            </w:r>
            <w:r>
              <w:rPr>
                <w:rFonts w:hint="eastAsia" w:eastAsia="仿宋" w:cs="Times New Roman"/>
                <w:color w:val="auto"/>
                <w:sz w:val="24"/>
                <w:lang w:val="en-US" w:eastAsia="zh-CN"/>
              </w:rPr>
              <w:t>12</w:t>
            </w:r>
            <w:r>
              <w:rPr>
                <w:rFonts w:hint="default" w:ascii="Times New Roman" w:hAnsi="Times New Roman" w:eastAsia="仿宋" w:cs="Times New Roman"/>
                <w:color w:val="auto"/>
                <w:sz w:val="24"/>
              </w:rPr>
              <w:t>月</w:t>
            </w:r>
            <w:r>
              <w:rPr>
                <w:rFonts w:hint="eastAsia" w:eastAsia="仿宋" w:cs="Times New Roman"/>
                <w:color w:val="auto"/>
                <w:sz w:val="24"/>
                <w:lang w:val="en-US" w:eastAsia="zh-CN"/>
              </w:rPr>
              <w:t>15~17</w:t>
            </w:r>
            <w:r>
              <w:rPr>
                <w:rFonts w:hint="default" w:ascii="Times New Roman" w:hAnsi="Times New Roman" w:eastAsia="仿宋" w:cs="Times New Roman"/>
                <w:color w:val="auto"/>
                <w:sz w:val="24"/>
              </w:rPr>
              <w:t>日昼夜各监测一次</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监测方法：按照《声环境质量标准》（GB3096-2008）及《环境监测技术规范》（第三册）噪声部分中有关规定进行监测，监测等效连续A声级。</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（3）监测结果</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监测统计结果见表3-</w:t>
            </w:r>
            <w:r>
              <w:rPr>
                <w:rFonts w:hint="eastAsia" w:eastAsia="仿宋" w:cs="Times New Roman"/>
                <w:color w:val="auto"/>
                <w:sz w:val="24"/>
                <w:lang w:val="en-US" w:eastAsia="zh-CN"/>
              </w:rPr>
              <w:t>3</w:t>
            </w:r>
            <w:r>
              <w:rPr>
                <w:rFonts w:hint="default" w:ascii="Times New Roman" w:hAnsi="Times New Roman" w:eastAsia="仿宋" w:cs="Times New Roman"/>
                <w:color w:val="auto"/>
                <w:sz w:val="24"/>
              </w:rPr>
              <w:t>。</w:t>
            </w:r>
          </w:p>
          <w:p>
            <w:pPr>
              <w:pStyle w:val="7"/>
              <w:spacing w:line="360" w:lineRule="auto"/>
              <w:jc w:val="center"/>
              <w:rPr>
                <w:rFonts w:hint="default" w:ascii="Times New Roman" w:hAnsi="Times New Roman" w:eastAsia="仿宋" w:cs="Times New Roman"/>
                <w:b/>
                <w:bCs/>
                <w:color w:val="auto"/>
                <w:sz w:val="21"/>
                <w:szCs w:val="21"/>
                <w:lang w:val="en-US"/>
              </w:rPr>
            </w:pPr>
            <w:r>
              <w:rPr>
                <w:rFonts w:hint="default" w:ascii="Times New Roman" w:hAnsi="Times New Roman" w:eastAsia="仿宋" w:cs="Times New Roman"/>
                <w:b/>
                <w:bCs/>
                <w:color w:val="auto"/>
                <w:sz w:val="21"/>
                <w:szCs w:val="21"/>
                <w:lang w:val="en-US"/>
              </w:rPr>
              <w:t>表3-</w:t>
            </w:r>
            <w:r>
              <w:rPr>
                <w:rFonts w:hint="eastAsia" w:eastAsia="仿宋" w:cs="Times New Roman"/>
                <w:b/>
                <w:bCs/>
                <w:color w:val="auto"/>
                <w:sz w:val="21"/>
                <w:szCs w:val="21"/>
                <w:lang w:val="en-US" w:eastAsia="zh-CN"/>
              </w:rPr>
              <w:t>3</w:t>
            </w:r>
            <w:r>
              <w:rPr>
                <w:rFonts w:hint="default" w:ascii="Times New Roman" w:hAnsi="Times New Roman" w:eastAsia="仿宋" w:cs="Times New Roman"/>
                <w:b/>
                <w:bCs/>
                <w:color w:val="auto"/>
                <w:sz w:val="21"/>
                <w:szCs w:val="21"/>
                <w:lang w:val="en-US"/>
              </w:rPr>
              <w:t xml:space="preserve">  </w:t>
            </w:r>
            <w:r>
              <w:rPr>
                <w:rFonts w:hint="default" w:ascii="Times New Roman" w:hAnsi="Times New Roman" w:eastAsia="仿宋" w:cs="Times New Roman"/>
                <w:b/>
                <w:bCs/>
                <w:color w:val="auto"/>
                <w:sz w:val="21"/>
                <w:szCs w:val="21"/>
              </w:rPr>
              <w:t>声环境现状监测结果</w:t>
            </w:r>
            <w:r>
              <w:rPr>
                <w:rFonts w:hint="default" w:ascii="Times New Roman" w:hAnsi="Times New Roman" w:eastAsia="仿宋" w:cs="Times New Roman"/>
                <w:b/>
                <w:bCs/>
                <w:color w:val="auto"/>
                <w:sz w:val="21"/>
                <w:szCs w:val="21"/>
                <w:lang w:val="en-US"/>
              </w:rPr>
              <w:t>一览表  单位：dB（A）</w:t>
            </w:r>
          </w:p>
          <w:tbl>
            <w:tblPr>
              <w:tblStyle w:val="83"/>
              <w:tblW w:w="8826" w:type="dxa"/>
              <w:tblInd w:w="9"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51"/>
              <w:gridCol w:w="3640"/>
              <w:gridCol w:w="790"/>
              <w:gridCol w:w="779"/>
              <w:gridCol w:w="777"/>
              <w:gridCol w:w="767"/>
              <w:gridCol w:w="654"/>
              <w:gridCol w:w="86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1" w:type="dxa"/>
                  <w:vMerge w:val="restart"/>
                  <w:tcBorders>
                    <w:bottom w:val="nil"/>
                  </w:tcBorders>
                  <w:vAlign w:val="top"/>
                </w:tcPr>
                <w:p>
                  <w:pPr>
                    <w:pStyle w:val="82"/>
                    <w:spacing w:before="214" w:line="222" w:lineRule="auto"/>
                    <w:ind w:right="15"/>
                    <w:jc w:val="right"/>
                    <w:rPr>
                      <w:rFonts w:hint="default" w:ascii="Times New Roman" w:hAnsi="Times New Roman" w:eastAsia="仿宋" w:cs="Times New Roman"/>
                      <w:color w:val="auto"/>
                    </w:rPr>
                  </w:pPr>
                  <w:r>
                    <w:rPr>
                      <w:rFonts w:hint="default" w:ascii="Times New Roman" w:hAnsi="Times New Roman" w:eastAsia="仿宋" w:cs="Times New Roman"/>
                      <w:b/>
                      <w:bCs/>
                      <w:color w:val="auto"/>
                      <w:spacing w:val="-4"/>
                    </w:rPr>
                    <w:t>序号</w:t>
                  </w:r>
                </w:p>
              </w:tc>
              <w:tc>
                <w:tcPr>
                  <w:tcW w:w="3640" w:type="dxa"/>
                  <w:vMerge w:val="restart"/>
                  <w:tcBorders>
                    <w:bottom w:val="nil"/>
                  </w:tcBorders>
                  <w:vAlign w:val="top"/>
                </w:tcPr>
                <w:p>
                  <w:pPr>
                    <w:pStyle w:val="82"/>
                    <w:spacing w:before="214" w:line="222" w:lineRule="auto"/>
                    <w:ind w:left="1400"/>
                    <w:rPr>
                      <w:rFonts w:hint="default" w:ascii="Times New Roman" w:hAnsi="Times New Roman" w:eastAsia="仿宋" w:cs="Times New Roman"/>
                      <w:color w:val="auto"/>
                    </w:rPr>
                  </w:pPr>
                  <w:r>
                    <w:rPr>
                      <w:rFonts w:hint="default" w:ascii="Times New Roman" w:hAnsi="Times New Roman" w:eastAsia="仿宋" w:cs="Times New Roman"/>
                      <w:b/>
                      <w:bCs/>
                      <w:color w:val="auto"/>
                      <w:spacing w:val="-4"/>
                    </w:rPr>
                    <w:t>测点名称</w:t>
                  </w:r>
                </w:p>
              </w:tc>
              <w:tc>
                <w:tcPr>
                  <w:tcW w:w="1569" w:type="dxa"/>
                  <w:gridSpan w:val="2"/>
                  <w:vAlign w:val="top"/>
                </w:tcPr>
                <w:p>
                  <w:pPr>
                    <w:pStyle w:val="82"/>
                    <w:spacing w:before="51" w:line="219" w:lineRule="auto"/>
                    <w:ind w:left="472"/>
                    <w:rPr>
                      <w:rFonts w:hint="default" w:ascii="Times New Roman" w:hAnsi="Times New Roman" w:eastAsia="仿宋" w:cs="Times New Roman"/>
                      <w:color w:val="auto"/>
                    </w:rPr>
                  </w:pPr>
                  <w:r>
                    <w:rPr>
                      <w:rFonts w:hint="default" w:ascii="Times New Roman" w:hAnsi="Times New Roman" w:eastAsia="仿宋" w:cs="Times New Roman"/>
                      <w:b/>
                      <w:bCs/>
                      <w:color w:val="auto"/>
                      <w:spacing w:val="-4"/>
                    </w:rPr>
                    <w:t>监测值</w:t>
                  </w:r>
                </w:p>
              </w:tc>
              <w:tc>
                <w:tcPr>
                  <w:tcW w:w="1544" w:type="dxa"/>
                  <w:gridSpan w:val="2"/>
                  <w:vAlign w:val="top"/>
                </w:tcPr>
                <w:p>
                  <w:pPr>
                    <w:pStyle w:val="82"/>
                    <w:spacing w:before="51" w:line="219" w:lineRule="auto"/>
                    <w:ind w:left="466"/>
                    <w:rPr>
                      <w:rFonts w:hint="default" w:ascii="Times New Roman" w:hAnsi="Times New Roman" w:eastAsia="仿宋" w:cs="Times New Roman"/>
                      <w:color w:val="auto"/>
                    </w:rPr>
                  </w:pPr>
                  <w:r>
                    <w:rPr>
                      <w:rFonts w:hint="default" w:ascii="Times New Roman" w:hAnsi="Times New Roman" w:eastAsia="仿宋" w:cs="Times New Roman"/>
                      <w:b/>
                      <w:bCs/>
                      <w:color w:val="auto"/>
                      <w:spacing w:val="-4"/>
                    </w:rPr>
                    <w:t>标准值</w:t>
                  </w:r>
                </w:p>
              </w:tc>
              <w:tc>
                <w:tcPr>
                  <w:tcW w:w="654" w:type="dxa"/>
                  <w:vMerge w:val="restart"/>
                  <w:tcBorders>
                    <w:bottom w:val="nil"/>
                  </w:tcBorders>
                  <w:vAlign w:val="top"/>
                </w:tcPr>
                <w:p>
                  <w:pPr>
                    <w:pStyle w:val="82"/>
                    <w:spacing w:before="80" w:line="230" w:lineRule="auto"/>
                    <w:ind w:left="125" w:right="103" w:firstLine="4"/>
                    <w:rPr>
                      <w:rFonts w:hint="default" w:ascii="Times New Roman" w:hAnsi="Times New Roman" w:eastAsia="仿宋" w:cs="Times New Roman"/>
                      <w:color w:val="auto"/>
                    </w:rPr>
                  </w:pPr>
                  <w:r>
                    <w:rPr>
                      <w:rFonts w:hint="default" w:ascii="Times New Roman" w:hAnsi="Times New Roman" w:eastAsia="仿宋" w:cs="Times New Roman"/>
                      <w:b/>
                      <w:bCs/>
                      <w:color w:val="auto"/>
                      <w:spacing w:val="-7"/>
                    </w:rPr>
                    <w:t>是否</w:t>
                  </w:r>
                  <w:r>
                    <w:rPr>
                      <w:rFonts w:hint="default" w:ascii="Times New Roman" w:hAnsi="Times New Roman" w:eastAsia="仿宋" w:cs="Times New Roman"/>
                      <w:b/>
                      <w:bCs/>
                      <w:color w:val="auto"/>
                      <w:spacing w:val="-5"/>
                    </w:rPr>
                    <w:t>超标</w:t>
                  </w:r>
                </w:p>
              </w:tc>
              <w:tc>
                <w:tcPr>
                  <w:tcW w:w="868" w:type="dxa"/>
                  <w:vMerge w:val="restart"/>
                  <w:tcBorders>
                    <w:bottom w:val="nil"/>
                  </w:tcBorders>
                  <w:vAlign w:val="top"/>
                </w:tcPr>
                <w:p>
                  <w:pPr>
                    <w:pStyle w:val="82"/>
                    <w:spacing w:before="214" w:line="222" w:lineRule="auto"/>
                    <w:ind w:left="181"/>
                    <w:rPr>
                      <w:rFonts w:hint="default" w:ascii="Times New Roman" w:hAnsi="Times New Roman" w:eastAsia="仿宋" w:cs="Times New Roman"/>
                      <w:color w:val="auto"/>
                    </w:rPr>
                  </w:pPr>
                  <w:r>
                    <w:rPr>
                      <w:rFonts w:hint="default" w:ascii="Times New Roman" w:hAnsi="Times New Roman" w:eastAsia="仿宋" w:cs="Times New Roman"/>
                      <w:b/>
                      <w:bCs/>
                      <w:color w:val="auto"/>
                      <w:spacing w:val="-5"/>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1" w:type="dxa"/>
                  <w:vMerge w:val="continue"/>
                  <w:tcBorders>
                    <w:top w:val="nil"/>
                  </w:tcBorders>
                  <w:vAlign w:val="top"/>
                </w:tcPr>
                <w:p>
                  <w:pPr>
                    <w:rPr>
                      <w:rFonts w:hint="default" w:ascii="Times New Roman" w:hAnsi="Times New Roman" w:eastAsia="仿宋" w:cs="Times New Roman"/>
                      <w:color w:val="auto"/>
                      <w:sz w:val="21"/>
                    </w:rPr>
                  </w:pPr>
                </w:p>
              </w:tc>
              <w:tc>
                <w:tcPr>
                  <w:tcW w:w="3640" w:type="dxa"/>
                  <w:vMerge w:val="continue"/>
                  <w:tcBorders>
                    <w:top w:val="nil"/>
                  </w:tcBorders>
                  <w:vAlign w:val="top"/>
                </w:tcPr>
                <w:p>
                  <w:pPr>
                    <w:rPr>
                      <w:rFonts w:hint="default" w:ascii="Times New Roman" w:hAnsi="Times New Roman" w:eastAsia="仿宋" w:cs="Times New Roman"/>
                      <w:color w:val="auto"/>
                      <w:sz w:val="21"/>
                    </w:rPr>
                  </w:pPr>
                </w:p>
              </w:tc>
              <w:tc>
                <w:tcPr>
                  <w:tcW w:w="790" w:type="dxa"/>
                  <w:vAlign w:val="top"/>
                </w:tcPr>
                <w:p>
                  <w:pPr>
                    <w:pStyle w:val="82"/>
                    <w:spacing w:before="56" w:line="219" w:lineRule="auto"/>
                    <w:ind w:left="185"/>
                    <w:rPr>
                      <w:rFonts w:hint="default" w:ascii="Times New Roman" w:hAnsi="Times New Roman" w:eastAsia="仿宋" w:cs="Times New Roman"/>
                      <w:color w:val="auto"/>
                    </w:rPr>
                  </w:pPr>
                  <w:r>
                    <w:rPr>
                      <w:rFonts w:hint="default" w:ascii="Times New Roman" w:hAnsi="Times New Roman" w:eastAsia="仿宋" w:cs="Times New Roman"/>
                      <w:b/>
                      <w:bCs/>
                      <w:color w:val="auto"/>
                      <w:spacing w:val="-4"/>
                    </w:rPr>
                    <w:t>昼间</w:t>
                  </w:r>
                </w:p>
              </w:tc>
              <w:tc>
                <w:tcPr>
                  <w:tcW w:w="779" w:type="dxa"/>
                  <w:vAlign w:val="top"/>
                </w:tcPr>
                <w:p>
                  <w:pPr>
                    <w:pStyle w:val="82"/>
                    <w:spacing w:before="56" w:line="219" w:lineRule="auto"/>
                    <w:ind w:left="189"/>
                    <w:rPr>
                      <w:rFonts w:hint="default" w:ascii="Times New Roman" w:hAnsi="Times New Roman" w:eastAsia="仿宋" w:cs="Times New Roman"/>
                      <w:color w:val="auto"/>
                    </w:rPr>
                  </w:pPr>
                  <w:r>
                    <w:rPr>
                      <w:rFonts w:hint="default" w:ascii="Times New Roman" w:hAnsi="Times New Roman" w:eastAsia="仿宋" w:cs="Times New Roman"/>
                      <w:b/>
                      <w:bCs/>
                      <w:color w:val="auto"/>
                      <w:spacing w:val="-5"/>
                    </w:rPr>
                    <w:t>夜间</w:t>
                  </w:r>
                </w:p>
              </w:tc>
              <w:tc>
                <w:tcPr>
                  <w:tcW w:w="777" w:type="dxa"/>
                  <w:vAlign w:val="top"/>
                </w:tcPr>
                <w:p>
                  <w:pPr>
                    <w:pStyle w:val="82"/>
                    <w:spacing w:before="56" w:line="219" w:lineRule="auto"/>
                    <w:ind w:left="186"/>
                    <w:rPr>
                      <w:rFonts w:hint="default" w:ascii="Times New Roman" w:hAnsi="Times New Roman" w:eastAsia="仿宋" w:cs="Times New Roman"/>
                      <w:color w:val="auto"/>
                    </w:rPr>
                  </w:pPr>
                  <w:r>
                    <w:rPr>
                      <w:rFonts w:hint="default" w:ascii="Times New Roman" w:hAnsi="Times New Roman" w:eastAsia="仿宋" w:cs="Times New Roman"/>
                      <w:b/>
                      <w:bCs/>
                      <w:color w:val="auto"/>
                      <w:spacing w:val="-4"/>
                    </w:rPr>
                    <w:t>昼间</w:t>
                  </w:r>
                </w:p>
              </w:tc>
              <w:tc>
                <w:tcPr>
                  <w:tcW w:w="767" w:type="dxa"/>
                  <w:vAlign w:val="top"/>
                </w:tcPr>
                <w:p>
                  <w:pPr>
                    <w:pStyle w:val="82"/>
                    <w:spacing w:before="56" w:line="219" w:lineRule="auto"/>
                    <w:ind w:left="186"/>
                    <w:rPr>
                      <w:rFonts w:hint="default" w:ascii="Times New Roman" w:hAnsi="Times New Roman" w:eastAsia="仿宋" w:cs="Times New Roman"/>
                      <w:color w:val="auto"/>
                    </w:rPr>
                  </w:pPr>
                  <w:r>
                    <w:rPr>
                      <w:rFonts w:hint="default" w:ascii="Times New Roman" w:hAnsi="Times New Roman" w:eastAsia="仿宋" w:cs="Times New Roman"/>
                      <w:b/>
                      <w:bCs/>
                      <w:color w:val="auto"/>
                      <w:spacing w:val="-5"/>
                    </w:rPr>
                    <w:t>夜间</w:t>
                  </w:r>
                </w:p>
              </w:tc>
              <w:tc>
                <w:tcPr>
                  <w:tcW w:w="654" w:type="dxa"/>
                  <w:vMerge w:val="continue"/>
                  <w:tcBorders>
                    <w:top w:val="nil"/>
                  </w:tcBorders>
                  <w:vAlign w:val="top"/>
                </w:tcPr>
                <w:p>
                  <w:pPr>
                    <w:rPr>
                      <w:rFonts w:hint="default" w:ascii="Times New Roman" w:hAnsi="Times New Roman" w:eastAsia="仿宋" w:cs="Times New Roman"/>
                      <w:color w:val="auto"/>
                      <w:sz w:val="21"/>
                    </w:rPr>
                  </w:pPr>
                </w:p>
              </w:tc>
              <w:tc>
                <w:tcPr>
                  <w:tcW w:w="868" w:type="dxa"/>
                  <w:vMerge w:val="continue"/>
                  <w:tcBorders>
                    <w:top w:val="nil"/>
                  </w:tcBorders>
                  <w:vAlign w:val="top"/>
                </w:tcPr>
                <w:p>
                  <w:pPr>
                    <w:rPr>
                      <w:rFonts w:hint="default" w:ascii="Times New Roman" w:hAnsi="Times New Roman" w:eastAsia="仿宋"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826" w:type="dxa"/>
                  <w:gridSpan w:val="8"/>
                  <w:vAlign w:val="top"/>
                </w:tcPr>
                <w:p>
                  <w:pPr>
                    <w:pStyle w:val="82"/>
                    <w:spacing w:before="60" w:line="217" w:lineRule="auto"/>
                    <w:ind w:left="3541"/>
                    <w:rPr>
                      <w:rFonts w:hint="default" w:ascii="Times New Roman" w:hAnsi="Times New Roman" w:eastAsia="仿宋" w:cs="Times New Roman"/>
                      <w:color w:val="auto"/>
                    </w:rPr>
                  </w:pPr>
                  <w:r>
                    <w:rPr>
                      <w:rFonts w:hint="default" w:ascii="Times New Roman" w:hAnsi="Times New Roman" w:eastAsia="仿宋" w:cs="Times New Roman"/>
                      <w:b/>
                      <w:bCs/>
                      <w:color w:val="auto"/>
                      <w:spacing w:val="-2"/>
                    </w:rPr>
                    <w:t>拟建</w:t>
                  </w:r>
                  <w:r>
                    <w:rPr>
                      <w:rFonts w:hint="eastAsia" w:ascii="Times New Roman" w:hAnsi="Times New Roman" w:eastAsia="仿宋" w:cs="Times New Roman"/>
                      <w:b/>
                      <w:bCs/>
                      <w:color w:val="auto"/>
                      <w:spacing w:val="-2"/>
                      <w:lang w:eastAsia="zh-CN"/>
                    </w:rPr>
                    <w:t>110kV</w:t>
                  </w:r>
                  <w:r>
                    <w:rPr>
                      <w:rFonts w:hint="default" w:ascii="Times New Roman" w:hAnsi="Times New Roman" w:eastAsia="仿宋" w:cs="Times New Roman"/>
                      <w:b/>
                      <w:bCs/>
                      <w:color w:val="auto"/>
                      <w:spacing w:val="-2"/>
                    </w:rPr>
                    <w:t>升压站</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551" w:type="dxa"/>
                  <w:vAlign w:val="top"/>
                </w:tcPr>
                <w:p>
                  <w:pPr>
                    <w:spacing w:before="217" w:line="187"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3640" w:type="dxa"/>
                  <w:vAlign w:val="top"/>
                </w:tcPr>
                <w:p>
                  <w:pPr>
                    <w:pStyle w:val="82"/>
                    <w:spacing w:before="64" w:line="220" w:lineRule="auto"/>
                    <w:ind w:left="767"/>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pacing w:val="-1"/>
                    </w:rPr>
                    <w:t>拟建升压站站址</w:t>
                  </w:r>
                  <w:r>
                    <w:rPr>
                      <w:rFonts w:hint="eastAsia" w:ascii="Times New Roman" w:hAnsi="Times New Roman" w:eastAsia="仿宋" w:cs="Times New Roman"/>
                      <w:color w:val="auto"/>
                      <w:spacing w:val="-1"/>
                      <w:lang w:val="en-US" w:eastAsia="zh-CN"/>
                    </w:rPr>
                    <w:t>3#</w:t>
                  </w:r>
                </w:p>
                <w:p>
                  <w:pPr>
                    <w:pStyle w:val="82"/>
                    <w:spacing w:before="66" w:line="201" w:lineRule="auto"/>
                    <w:ind w:left="267"/>
                    <w:rPr>
                      <w:rFonts w:hint="default" w:ascii="Times New Roman" w:hAnsi="Times New Roman" w:eastAsia="仿宋" w:cs="Times New Roman"/>
                      <w:color w:val="auto"/>
                    </w:rPr>
                  </w:pPr>
                  <w:r>
                    <w:rPr>
                      <w:rFonts w:hint="default" w:ascii="Times New Roman" w:hAnsi="Times New Roman" w:eastAsia="仿宋" w:cs="Times New Roman"/>
                      <w:color w:val="auto"/>
                      <w:spacing w:val="-2"/>
                    </w:rPr>
                    <w:t>（E106°57'23.00"，N32°05'29.83"）</w:t>
                  </w:r>
                </w:p>
              </w:tc>
              <w:tc>
                <w:tcPr>
                  <w:tcW w:w="790" w:type="dxa"/>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51</w:t>
                  </w:r>
                </w:p>
              </w:tc>
              <w:tc>
                <w:tcPr>
                  <w:tcW w:w="779" w:type="dxa"/>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w:t>
                  </w:r>
                </w:p>
              </w:tc>
              <w:tc>
                <w:tcPr>
                  <w:tcW w:w="777" w:type="dxa"/>
                  <w:vAlign w:val="top"/>
                </w:tcPr>
                <w:p>
                  <w:pPr>
                    <w:spacing w:before="252" w:line="184" w:lineRule="auto"/>
                    <w:ind w:left="29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3"/>
                      <w:sz w:val="21"/>
                      <w:szCs w:val="21"/>
                    </w:rPr>
                    <w:t>55</w:t>
                  </w:r>
                </w:p>
              </w:tc>
              <w:tc>
                <w:tcPr>
                  <w:tcW w:w="767" w:type="dxa"/>
                  <w:vAlign w:val="top"/>
                </w:tcPr>
                <w:p>
                  <w:pPr>
                    <w:spacing w:before="249" w:line="187" w:lineRule="auto"/>
                    <w:ind w:left="283"/>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
                      <w:sz w:val="21"/>
                      <w:szCs w:val="21"/>
                    </w:rPr>
                    <w:t>45</w:t>
                  </w:r>
                </w:p>
              </w:tc>
              <w:tc>
                <w:tcPr>
                  <w:tcW w:w="654" w:type="dxa"/>
                  <w:vAlign w:val="top"/>
                </w:tcPr>
                <w:p>
                  <w:pPr>
                    <w:pStyle w:val="82"/>
                    <w:spacing w:before="211" w:line="221" w:lineRule="auto"/>
                    <w:ind w:left="238"/>
                    <w:rPr>
                      <w:rFonts w:hint="default" w:ascii="Times New Roman" w:hAnsi="Times New Roman" w:eastAsia="仿宋" w:cs="Times New Roman"/>
                      <w:color w:val="auto"/>
                    </w:rPr>
                  </w:pPr>
                  <w:r>
                    <w:rPr>
                      <w:rFonts w:hint="default" w:ascii="Times New Roman" w:hAnsi="Times New Roman" w:eastAsia="仿宋" w:cs="Times New Roman"/>
                      <w:color w:val="auto"/>
                    </w:rPr>
                    <w:t>否</w:t>
                  </w:r>
                </w:p>
              </w:tc>
              <w:tc>
                <w:tcPr>
                  <w:tcW w:w="868" w:type="dxa"/>
                  <w:vAlign w:val="top"/>
                </w:tcPr>
                <w:p>
                  <w:pPr>
                    <w:spacing w:before="246" w:line="233" w:lineRule="auto"/>
                    <w:ind w:left="353"/>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826" w:type="dxa"/>
                  <w:gridSpan w:val="8"/>
                  <w:vAlign w:val="top"/>
                </w:tcPr>
                <w:p>
                  <w:pPr>
                    <w:pStyle w:val="82"/>
                    <w:spacing w:before="59" w:line="217" w:lineRule="auto"/>
                    <w:ind w:left="3991"/>
                    <w:rPr>
                      <w:rFonts w:hint="default" w:ascii="Times New Roman" w:hAnsi="Times New Roman" w:eastAsia="仿宋" w:cs="Times New Roman"/>
                      <w:color w:val="auto"/>
                    </w:rPr>
                  </w:pPr>
                  <w:r>
                    <w:rPr>
                      <w:rFonts w:hint="default" w:ascii="Times New Roman" w:hAnsi="Times New Roman" w:eastAsia="仿宋" w:cs="Times New Roman"/>
                      <w:b/>
                      <w:bCs/>
                      <w:color w:val="auto"/>
                      <w:spacing w:val="-4"/>
                    </w:rPr>
                    <w:t>风机周边</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51" w:type="dxa"/>
                  <w:vAlign w:val="top"/>
                </w:tcPr>
                <w:p>
                  <w:pPr>
                    <w:spacing w:before="217" w:line="187"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3640" w:type="dxa"/>
                  <w:shd w:val="clear" w:color="auto" w:fill="auto"/>
                  <w:vAlign w:val="top"/>
                </w:tcPr>
                <w:p>
                  <w:pPr>
                    <w:pStyle w:val="82"/>
                    <w:spacing w:before="40" w:line="221" w:lineRule="auto"/>
                    <w:ind w:left="77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pacing w:val="-1"/>
                    </w:rPr>
                    <w:t>风电场区域背景测点</w:t>
                  </w:r>
                  <w:r>
                    <w:rPr>
                      <w:rFonts w:hint="eastAsia" w:ascii="Times New Roman" w:hAnsi="Times New Roman" w:eastAsia="仿宋" w:cs="Times New Roman"/>
                      <w:color w:val="auto"/>
                      <w:spacing w:val="-1"/>
                      <w:lang w:val="en-US" w:eastAsia="zh-CN"/>
                    </w:rPr>
                    <w:t>1#</w:t>
                  </w:r>
                </w:p>
                <w:p>
                  <w:pPr>
                    <w:pStyle w:val="82"/>
                    <w:spacing w:before="22" w:line="196" w:lineRule="auto"/>
                    <w:ind w:left="260"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spacing w:val="-2"/>
                    </w:rPr>
                    <w:t>（E106°56'07.66"，N32°05'04.69"）</w:t>
                  </w:r>
                </w:p>
              </w:tc>
              <w:tc>
                <w:tcPr>
                  <w:tcW w:w="790"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46</w:t>
                  </w:r>
                </w:p>
              </w:tc>
              <w:tc>
                <w:tcPr>
                  <w:tcW w:w="779"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41</w:t>
                  </w:r>
                </w:p>
              </w:tc>
              <w:tc>
                <w:tcPr>
                  <w:tcW w:w="777" w:type="dxa"/>
                  <w:shd w:val="clear" w:color="auto" w:fill="auto"/>
                  <w:vAlign w:val="top"/>
                </w:tcPr>
                <w:p>
                  <w:pPr>
                    <w:spacing w:before="219" w:line="184" w:lineRule="auto"/>
                    <w:ind w:left="294"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3"/>
                      <w:sz w:val="21"/>
                      <w:szCs w:val="21"/>
                    </w:rPr>
                    <w:t>55</w:t>
                  </w:r>
                </w:p>
              </w:tc>
              <w:tc>
                <w:tcPr>
                  <w:tcW w:w="767" w:type="dxa"/>
                  <w:shd w:val="clear" w:color="auto" w:fill="auto"/>
                  <w:vAlign w:val="top"/>
                </w:tcPr>
                <w:p>
                  <w:pPr>
                    <w:spacing w:before="216" w:line="187" w:lineRule="auto"/>
                    <w:ind w:left="283"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1"/>
                      <w:sz w:val="21"/>
                      <w:szCs w:val="21"/>
                    </w:rPr>
                    <w:t>45</w:t>
                  </w:r>
                </w:p>
              </w:tc>
              <w:tc>
                <w:tcPr>
                  <w:tcW w:w="654" w:type="dxa"/>
                  <w:shd w:val="clear" w:color="auto" w:fill="auto"/>
                  <w:vAlign w:val="top"/>
                </w:tcPr>
                <w:p>
                  <w:pPr>
                    <w:pStyle w:val="82"/>
                    <w:spacing w:before="178" w:line="221" w:lineRule="auto"/>
                    <w:ind w:left="238"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rPr>
                    <w:t>否</w:t>
                  </w:r>
                </w:p>
              </w:tc>
              <w:tc>
                <w:tcPr>
                  <w:tcW w:w="868" w:type="dxa"/>
                  <w:shd w:val="clear" w:color="auto" w:fill="auto"/>
                  <w:vAlign w:val="top"/>
                </w:tcPr>
                <w:p>
                  <w:pPr>
                    <w:pStyle w:val="82"/>
                    <w:spacing w:before="56" w:line="234" w:lineRule="auto"/>
                    <w:ind w:right="176" w:rightChars="0"/>
                    <w:jc w:val="center"/>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spacing w:val="5"/>
                      <w:sz w:val="21"/>
                      <w:szCs w:val="21"/>
                    </w:rPr>
                    <w:t>非敏感</w:t>
                  </w:r>
                  <w:r>
                    <w:rPr>
                      <w:rFonts w:hint="default" w:ascii="Times New Roman" w:hAnsi="Times New Roman" w:eastAsia="仿宋" w:cs="Times New Roman"/>
                      <w:color w:val="auto"/>
                      <w:spacing w:val="-7"/>
                      <w:sz w:val="21"/>
                      <w:szCs w:val="21"/>
                    </w:rPr>
                    <w:t>目标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51" w:type="dxa"/>
                  <w:vAlign w:val="top"/>
                </w:tcPr>
                <w:p>
                  <w:pPr>
                    <w:spacing w:before="217" w:line="187"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3640" w:type="dxa"/>
                  <w:shd w:val="clear" w:color="auto" w:fill="auto"/>
                  <w:vAlign w:val="top"/>
                </w:tcPr>
                <w:p>
                  <w:pPr>
                    <w:pStyle w:val="82"/>
                    <w:spacing w:before="44" w:line="221" w:lineRule="auto"/>
                    <w:ind w:left="77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风电场区域背景测点</w:t>
                  </w:r>
                  <w:r>
                    <w:rPr>
                      <w:rFonts w:hint="eastAsia" w:ascii="Times New Roman" w:hAnsi="Times New Roman" w:eastAsia="仿宋" w:cs="Times New Roman"/>
                      <w:color w:val="auto"/>
                      <w:lang w:val="en-US" w:eastAsia="zh-CN"/>
                    </w:rPr>
                    <w:t>2#</w:t>
                  </w:r>
                </w:p>
                <w:p>
                  <w:pPr>
                    <w:pStyle w:val="82"/>
                    <w:spacing w:before="20" w:line="232" w:lineRule="auto"/>
                    <w:ind w:left="207"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spacing w:val="-1"/>
                    </w:rPr>
                    <w:t>（E106°57'06.80"，N32°04'31.14"</w:t>
                  </w:r>
                  <w:r>
                    <w:rPr>
                      <w:rFonts w:hint="default" w:ascii="Times New Roman" w:hAnsi="Times New Roman" w:eastAsia="仿宋" w:cs="Times New Roman"/>
                      <w:color w:val="auto"/>
                      <w:spacing w:val="-2"/>
                    </w:rPr>
                    <w:t>）</w:t>
                  </w:r>
                </w:p>
              </w:tc>
              <w:tc>
                <w:tcPr>
                  <w:tcW w:w="790"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52</w:t>
                  </w:r>
                </w:p>
              </w:tc>
              <w:tc>
                <w:tcPr>
                  <w:tcW w:w="779"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w:t>
                  </w:r>
                </w:p>
              </w:tc>
              <w:tc>
                <w:tcPr>
                  <w:tcW w:w="777"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3"/>
                      <w:sz w:val="21"/>
                      <w:szCs w:val="21"/>
                    </w:rPr>
                    <w:t>55</w:t>
                  </w:r>
                </w:p>
              </w:tc>
              <w:tc>
                <w:tcPr>
                  <w:tcW w:w="767" w:type="dxa"/>
                  <w:shd w:val="clear" w:color="auto" w:fill="auto"/>
                  <w:vAlign w:val="top"/>
                </w:tcPr>
                <w:p>
                  <w:pPr>
                    <w:spacing w:before="217" w:line="187" w:lineRule="auto"/>
                    <w:ind w:left="283"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1"/>
                      <w:sz w:val="21"/>
                      <w:szCs w:val="21"/>
                    </w:rPr>
                    <w:t>45</w:t>
                  </w:r>
                </w:p>
              </w:tc>
              <w:tc>
                <w:tcPr>
                  <w:tcW w:w="654" w:type="dxa"/>
                  <w:shd w:val="clear" w:color="auto" w:fill="auto"/>
                  <w:vAlign w:val="top"/>
                </w:tcPr>
                <w:p>
                  <w:pPr>
                    <w:pStyle w:val="82"/>
                    <w:spacing w:before="179" w:line="221" w:lineRule="auto"/>
                    <w:ind w:left="238"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rPr>
                    <w:t>否</w:t>
                  </w:r>
                </w:p>
              </w:tc>
              <w:tc>
                <w:tcPr>
                  <w:tcW w:w="868" w:type="dxa"/>
                  <w:shd w:val="clear" w:color="auto" w:fill="auto"/>
                  <w:vAlign w:val="top"/>
                </w:tcPr>
                <w:p>
                  <w:pPr>
                    <w:pStyle w:val="82"/>
                    <w:spacing w:before="56" w:line="234" w:lineRule="auto"/>
                    <w:ind w:right="176" w:rightChars="0"/>
                    <w:jc w:val="center"/>
                    <w:rPr>
                      <w:rFonts w:hint="default" w:ascii="Times New Roman" w:hAnsi="Times New Roman" w:eastAsia="仿宋" w:cs="Times New Roman"/>
                      <w:color w:val="auto"/>
                      <w:spacing w:val="5"/>
                      <w:sz w:val="21"/>
                      <w:szCs w:val="21"/>
                      <w:lang w:val="en-US" w:eastAsia="en-US"/>
                    </w:rPr>
                  </w:pPr>
                  <w:r>
                    <w:rPr>
                      <w:rFonts w:hint="default" w:ascii="Times New Roman" w:hAnsi="Times New Roman" w:eastAsia="仿宋" w:cs="Times New Roman"/>
                      <w:color w:val="auto"/>
                      <w:spacing w:val="5"/>
                      <w:sz w:val="21"/>
                      <w:szCs w:val="21"/>
                    </w:rPr>
                    <w:t>非敏感目标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51" w:type="dxa"/>
                  <w:tcBorders>
                    <w:bottom w:val="single" w:color="000000" w:sz="6" w:space="0"/>
                  </w:tcBorders>
                  <w:vAlign w:val="top"/>
                </w:tcPr>
                <w:p>
                  <w:pPr>
                    <w:spacing w:before="217" w:line="187"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3640" w:type="dxa"/>
                  <w:tcBorders>
                    <w:bottom w:val="single" w:color="000000" w:sz="6" w:space="0"/>
                  </w:tcBorders>
                  <w:shd w:val="clear" w:color="auto" w:fill="auto"/>
                  <w:vAlign w:val="top"/>
                </w:tcPr>
                <w:p>
                  <w:pPr>
                    <w:pStyle w:val="82"/>
                    <w:spacing w:before="29" w:line="221" w:lineRule="auto"/>
                    <w:ind w:left="77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pacing w:val="-1"/>
                    </w:rPr>
                    <w:t>风电场区域背景测点</w:t>
                  </w:r>
                  <w:r>
                    <w:rPr>
                      <w:rFonts w:hint="eastAsia" w:ascii="Times New Roman" w:hAnsi="Times New Roman" w:eastAsia="仿宋" w:cs="Times New Roman"/>
                      <w:color w:val="auto"/>
                      <w:spacing w:val="-1"/>
                      <w:lang w:val="en-US" w:eastAsia="zh-CN"/>
                    </w:rPr>
                    <w:t>4#</w:t>
                  </w:r>
                </w:p>
                <w:p>
                  <w:pPr>
                    <w:pStyle w:val="82"/>
                    <w:spacing w:before="20" w:line="206" w:lineRule="auto"/>
                    <w:ind w:left="266"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spacing w:val="-1"/>
                    </w:rPr>
                    <w:t>（E106°58'46.73"，N32°05'29.35"</w:t>
                  </w:r>
                  <w:r>
                    <w:rPr>
                      <w:rFonts w:hint="default" w:ascii="Times New Roman" w:hAnsi="Times New Roman" w:eastAsia="仿宋" w:cs="Times New Roman"/>
                      <w:color w:val="auto"/>
                      <w:spacing w:val="-2"/>
                    </w:rPr>
                    <w:t>）</w:t>
                  </w:r>
                </w:p>
              </w:tc>
              <w:tc>
                <w:tcPr>
                  <w:tcW w:w="790" w:type="dxa"/>
                  <w:tcBorders>
                    <w:bottom w:val="single" w:color="000000" w:sz="6" w:space="0"/>
                  </w:tcBorders>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51</w:t>
                  </w:r>
                </w:p>
              </w:tc>
              <w:tc>
                <w:tcPr>
                  <w:tcW w:w="779" w:type="dxa"/>
                  <w:tcBorders>
                    <w:bottom w:val="single" w:color="000000" w:sz="6" w:space="0"/>
                  </w:tcBorders>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w:t>
                  </w:r>
                </w:p>
              </w:tc>
              <w:tc>
                <w:tcPr>
                  <w:tcW w:w="777" w:type="dxa"/>
                  <w:tcBorders>
                    <w:bottom w:val="single" w:color="000000" w:sz="6" w:space="0"/>
                  </w:tcBorders>
                  <w:shd w:val="clear" w:color="auto" w:fill="auto"/>
                  <w:vAlign w:val="top"/>
                </w:tcPr>
                <w:p>
                  <w:pPr>
                    <w:spacing w:before="206" w:line="184" w:lineRule="auto"/>
                    <w:ind w:left="291"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3"/>
                      <w:sz w:val="21"/>
                      <w:szCs w:val="21"/>
                    </w:rPr>
                    <w:t>55</w:t>
                  </w:r>
                </w:p>
              </w:tc>
              <w:tc>
                <w:tcPr>
                  <w:tcW w:w="767" w:type="dxa"/>
                  <w:tcBorders>
                    <w:bottom w:val="single" w:color="000000" w:sz="6" w:space="0"/>
                  </w:tcBorders>
                  <w:shd w:val="clear" w:color="auto" w:fill="auto"/>
                  <w:vAlign w:val="top"/>
                </w:tcPr>
                <w:p>
                  <w:pPr>
                    <w:spacing w:before="203" w:line="187" w:lineRule="auto"/>
                    <w:ind w:left="279"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1"/>
                      <w:sz w:val="21"/>
                      <w:szCs w:val="21"/>
                    </w:rPr>
                    <w:t>45</w:t>
                  </w:r>
                </w:p>
              </w:tc>
              <w:tc>
                <w:tcPr>
                  <w:tcW w:w="654" w:type="dxa"/>
                  <w:tcBorders>
                    <w:bottom w:val="single" w:color="000000" w:sz="6" w:space="0"/>
                  </w:tcBorders>
                  <w:shd w:val="clear" w:color="auto" w:fill="auto"/>
                  <w:vAlign w:val="top"/>
                </w:tcPr>
                <w:p>
                  <w:pPr>
                    <w:pStyle w:val="82"/>
                    <w:spacing w:before="164" w:line="221" w:lineRule="auto"/>
                    <w:ind w:left="233"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rPr>
                    <w:t>否</w:t>
                  </w:r>
                </w:p>
              </w:tc>
              <w:tc>
                <w:tcPr>
                  <w:tcW w:w="868" w:type="dxa"/>
                  <w:tcBorders>
                    <w:bottom w:val="single" w:color="000000" w:sz="6" w:space="0"/>
                  </w:tcBorders>
                  <w:shd w:val="clear" w:color="auto" w:fill="auto"/>
                  <w:vAlign w:val="top"/>
                </w:tcPr>
                <w:p>
                  <w:pPr>
                    <w:pStyle w:val="82"/>
                    <w:spacing w:before="56" w:line="234" w:lineRule="auto"/>
                    <w:ind w:right="176" w:rightChars="0"/>
                    <w:jc w:val="center"/>
                    <w:rPr>
                      <w:rFonts w:hint="default" w:ascii="Times New Roman" w:hAnsi="Times New Roman" w:eastAsia="仿宋" w:cs="Times New Roman"/>
                      <w:color w:val="auto"/>
                      <w:spacing w:val="5"/>
                      <w:sz w:val="21"/>
                      <w:szCs w:val="21"/>
                      <w:lang w:val="en-US" w:eastAsia="en-US"/>
                    </w:rPr>
                  </w:pPr>
                  <w:r>
                    <w:rPr>
                      <w:rFonts w:hint="default" w:ascii="Times New Roman" w:hAnsi="Times New Roman" w:eastAsia="仿宋" w:cs="Times New Roman"/>
                      <w:color w:val="auto"/>
                      <w:spacing w:val="5"/>
                      <w:sz w:val="21"/>
                      <w:szCs w:val="21"/>
                    </w:rPr>
                    <w:t>非敏感目标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51" w:type="dxa"/>
                  <w:tcBorders>
                    <w:top w:val="nil"/>
                  </w:tcBorders>
                  <w:vAlign w:val="top"/>
                </w:tcPr>
                <w:p>
                  <w:pPr>
                    <w:spacing w:before="206" w:line="184" w:lineRule="auto"/>
                    <w:ind w:left="19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3640" w:type="dxa"/>
                  <w:tcBorders>
                    <w:top w:val="nil"/>
                  </w:tcBorders>
                  <w:shd w:val="clear" w:color="auto" w:fill="auto"/>
                  <w:vAlign w:val="top"/>
                </w:tcPr>
                <w:p>
                  <w:pPr>
                    <w:pStyle w:val="82"/>
                    <w:spacing w:before="42" w:line="221" w:lineRule="auto"/>
                    <w:ind w:left="77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风电场区域背景测点</w:t>
                  </w:r>
                  <w:r>
                    <w:rPr>
                      <w:rFonts w:hint="eastAsia" w:ascii="Times New Roman" w:hAnsi="Times New Roman" w:eastAsia="仿宋" w:cs="Times New Roman"/>
                      <w:color w:val="auto"/>
                      <w:lang w:val="en-US" w:eastAsia="zh-CN"/>
                    </w:rPr>
                    <w:t>5#</w:t>
                  </w:r>
                </w:p>
                <w:p>
                  <w:pPr>
                    <w:pStyle w:val="82"/>
                    <w:spacing w:before="22" w:line="209" w:lineRule="auto"/>
                    <w:ind w:left="213"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spacing w:val="-1"/>
                    </w:rPr>
                    <w:t>（E106°59.10'，N32°07.15'</w:t>
                  </w:r>
                  <w:r>
                    <w:rPr>
                      <w:rFonts w:hint="default" w:ascii="Times New Roman" w:hAnsi="Times New Roman" w:eastAsia="仿宋" w:cs="Times New Roman"/>
                      <w:color w:val="auto"/>
                      <w:spacing w:val="-2"/>
                    </w:rPr>
                    <w:t>）</w:t>
                  </w:r>
                </w:p>
              </w:tc>
              <w:tc>
                <w:tcPr>
                  <w:tcW w:w="790" w:type="dxa"/>
                  <w:tcBorders>
                    <w:top w:val="nil"/>
                  </w:tcBorders>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46</w:t>
                  </w:r>
                </w:p>
              </w:tc>
              <w:tc>
                <w:tcPr>
                  <w:tcW w:w="779" w:type="dxa"/>
                  <w:tcBorders>
                    <w:top w:val="nil"/>
                  </w:tcBorders>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43</w:t>
                  </w:r>
                </w:p>
              </w:tc>
              <w:tc>
                <w:tcPr>
                  <w:tcW w:w="777" w:type="dxa"/>
                  <w:tcBorders>
                    <w:top w:val="nil"/>
                  </w:tcBorders>
                  <w:shd w:val="clear" w:color="auto" w:fill="auto"/>
                  <w:vAlign w:val="top"/>
                </w:tcPr>
                <w:p>
                  <w:pPr>
                    <w:spacing w:before="221" w:line="184" w:lineRule="auto"/>
                    <w:ind w:left="291"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3"/>
                      <w:sz w:val="21"/>
                      <w:szCs w:val="21"/>
                    </w:rPr>
                    <w:t>55</w:t>
                  </w:r>
                </w:p>
              </w:tc>
              <w:tc>
                <w:tcPr>
                  <w:tcW w:w="767" w:type="dxa"/>
                  <w:tcBorders>
                    <w:top w:val="nil"/>
                  </w:tcBorders>
                  <w:shd w:val="clear" w:color="auto" w:fill="auto"/>
                  <w:vAlign w:val="top"/>
                </w:tcPr>
                <w:p>
                  <w:pPr>
                    <w:spacing w:before="218" w:line="187" w:lineRule="auto"/>
                    <w:ind w:left="279"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1"/>
                      <w:sz w:val="21"/>
                      <w:szCs w:val="21"/>
                    </w:rPr>
                    <w:t>45</w:t>
                  </w:r>
                </w:p>
              </w:tc>
              <w:tc>
                <w:tcPr>
                  <w:tcW w:w="654" w:type="dxa"/>
                  <w:tcBorders>
                    <w:top w:val="nil"/>
                  </w:tcBorders>
                  <w:shd w:val="clear" w:color="auto" w:fill="auto"/>
                  <w:vAlign w:val="top"/>
                </w:tcPr>
                <w:p>
                  <w:pPr>
                    <w:pStyle w:val="82"/>
                    <w:spacing w:before="180" w:line="221" w:lineRule="auto"/>
                    <w:ind w:left="233"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rPr>
                    <w:t>否</w:t>
                  </w:r>
                </w:p>
              </w:tc>
              <w:tc>
                <w:tcPr>
                  <w:tcW w:w="868" w:type="dxa"/>
                  <w:tcBorders>
                    <w:top w:val="nil"/>
                  </w:tcBorders>
                  <w:shd w:val="clear" w:color="auto" w:fill="auto"/>
                  <w:vAlign w:val="top"/>
                </w:tcPr>
                <w:p>
                  <w:pPr>
                    <w:pStyle w:val="82"/>
                    <w:spacing w:before="56" w:line="234" w:lineRule="auto"/>
                    <w:ind w:right="176" w:rightChars="0"/>
                    <w:jc w:val="center"/>
                    <w:rPr>
                      <w:rFonts w:hint="default" w:ascii="Times New Roman" w:hAnsi="Times New Roman" w:eastAsia="仿宋" w:cs="Times New Roman"/>
                      <w:color w:val="auto"/>
                      <w:spacing w:val="5"/>
                      <w:sz w:val="21"/>
                      <w:szCs w:val="21"/>
                      <w:lang w:val="en-US" w:eastAsia="en-US"/>
                    </w:rPr>
                  </w:pPr>
                  <w:r>
                    <w:rPr>
                      <w:rFonts w:hint="default" w:ascii="Times New Roman" w:hAnsi="Times New Roman" w:eastAsia="仿宋" w:cs="Times New Roman"/>
                      <w:color w:val="auto"/>
                      <w:spacing w:val="5"/>
                      <w:sz w:val="21"/>
                      <w:szCs w:val="21"/>
                    </w:rPr>
                    <w:t>非敏感目标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51" w:type="dxa"/>
                  <w:vAlign w:val="top"/>
                </w:tcPr>
                <w:p>
                  <w:pPr>
                    <w:spacing w:before="218" w:line="187" w:lineRule="auto"/>
                    <w:ind w:left="189"/>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3640" w:type="dxa"/>
                  <w:shd w:val="clear" w:color="auto" w:fill="auto"/>
                  <w:vAlign w:val="top"/>
                </w:tcPr>
                <w:p>
                  <w:pPr>
                    <w:pStyle w:val="82"/>
                    <w:spacing w:before="51" w:line="221" w:lineRule="auto"/>
                    <w:ind w:left="77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风电场区域背景测点</w:t>
                  </w:r>
                  <w:r>
                    <w:rPr>
                      <w:rFonts w:hint="eastAsia" w:ascii="Times New Roman" w:hAnsi="Times New Roman" w:eastAsia="仿宋" w:cs="Times New Roman"/>
                      <w:color w:val="auto"/>
                      <w:lang w:val="en-US" w:eastAsia="zh-CN"/>
                    </w:rPr>
                    <w:t>6#</w:t>
                  </w:r>
                </w:p>
                <w:p>
                  <w:pPr>
                    <w:pStyle w:val="82"/>
                    <w:spacing w:before="19" w:line="204" w:lineRule="auto"/>
                    <w:ind w:left="213"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spacing w:val="-1"/>
                    </w:rPr>
                    <w:t>（E107°01'00.01"，N32°06'18.10"</w:t>
                  </w:r>
                  <w:r>
                    <w:rPr>
                      <w:rFonts w:hint="default" w:ascii="Times New Roman" w:hAnsi="Times New Roman" w:eastAsia="仿宋" w:cs="Times New Roman"/>
                      <w:color w:val="auto"/>
                      <w:spacing w:val="-2"/>
                    </w:rPr>
                    <w:t>）</w:t>
                  </w:r>
                </w:p>
              </w:tc>
              <w:tc>
                <w:tcPr>
                  <w:tcW w:w="790"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53</w:t>
                  </w:r>
                </w:p>
              </w:tc>
              <w:tc>
                <w:tcPr>
                  <w:tcW w:w="779"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w:t>
                  </w:r>
                </w:p>
              </w:tc>
              <w:tc>
                <w:tcPr>
                  <w:tcW w:w="777" w:type="dxa"/>
                  <w:shd w:val="clear" w:color="auto" w:fill="auto"/>
                  <w:vAlign w:val="top"/>
                </w:tcPr>
                <w:p>
                  <w:pPr>
                    <w:spacing w:before="230" w:line="184" w:lineRule="auto"/>
                    <w:ind w:left="291"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3"/>
                      <w:sz w:val="21"/>
                      <w:szCs w:val="21"/>
                    </w:rPr>
                    <w:t>55</w:t>
                  </w:r>
                </w:p>
              </w:tc>
              <w:tc>
                <w:tcPr>
                  <w:tcW w:w="767" w:type="dxa"/>
                  <w:shd w:val="clear" w:color="auto" w:fill="auto"/>
                  <w:vAlign w:val="top"/>
                </w:tcPr>
                <w:p>
                  <w:pPr>
                    <w:spacing w:before="227" w:line="187" w:lineRule="auto"/>
                    <w:ind w:left="279"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1"/>
                      <w:sz w:val="21"/>
                      <w:szCs w:val="21"/>
                    </w:rPr>
                    <w:t>45</w:t>
                  </w:r>
                </w:p>
              </w:tc>
              <w:tc>
                <w:tcPr>
                  <w:tcW w:w="654" w:type="dxa"/>
                  <w:shd w:val="clear" w:color="auto" w:fill="auto"/>
                  <w:vAlign w:val="top"/>
                </w:tcPr>
                <w:p>
                  <w:pPr>
                    <w:pStyle w:val="82"/>
                    <w:spacing w:before="189" w:line="221" w:lineRule="auto"/>
                    <w:ind w:left="233"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rPr>
                    <w:t>否</w:t>
                  </w:r>
                </w:p>
              </w:tc>
              <w:tc>
                <w:tcPr>
                  <w:tcW w:w="868" w:type="dxa"/>
                  <w:shd w:val="clear" w:color="auto" w:fill="auto"/>
                  <w:vAlign w:val="top"/>
                </w:tcPr>
                <w:p>
                  <w:pPr>
                    <w:pStyle w:val="82"/>
                    <w:spacing w:before="56" w:line="234" w:lineRule="auto"/>
                    <w:ind w:right="176" w:rightChars="0"/>
                    <w:jc w:val="center"/>
                    <w:rPr>
                      <w:rFonts w:hint="default" w:ascii="Times New Roman" w:hAnsi="Times New Roman" w:eastAsia="仿宋" w:cs="Times New Roman"/>
                      <w:color w:val="auto"/>
                      <w:spacing w:val="5"/>
                      <w:sz w:val="21"/>
                      <w:szCs w:val="21"/>
                      <w:lang w:val="en-US" w:eastAsia="en-US"/>
                    </w:rPr>
                  </w:pPr>
                  <w:r>
                    <w:rPr>
                      <w:rFonts w:hint="default" w:ascii="Times New Roman" w:hAnsi="Times New Roman" w:eastAsia="仿宋" w:cs="Times New Roman"/>
                      <w:color w:val="auto"/>
                      <w:spacing w:val="5"/>
                      <w:sz w:val="21"/>
                      <w:szCs w:val="21"/>
                    </w:rPr>
                    <w:t>非敏感目标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51" w:type="dxa"/>
                  <w:vAlign w:val="top"/>
                </w:tcPr>
                <w:p>
                  <w:pPr>
                    <w:spacing w:before="230" w:line="184" w:lineRule="auto"/>
                    <w:ind w:left="187"/>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3640" w:type="dxa"/>
                  <w:shd w:val="clear" w:color="auto" w:fill="auto"/>
                  <w:vAlign w:val="top"/>
                </w:tcPr>
                <w:p>
                  <w:pPr>
                    <w:pStyle w:val="82"/>
                    <w:spacing w:before="57" w:line="221" w:lineRule="auto"/>
                    <w:ind w:left="776"/>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风电场区域背景测点</w:t>
                  </w:r>
                  <w:r>
                    <w:rPr>
                      <w:rFonts w:hint="eastAsia" w:ascii="Times New Roman" w:hAnsi="Times New Roman" w:eastAsia="仿宋" w:cs="Times New Roman"/>
                      <w:color w:val="auto"/>
                      <w:lang w:val="en-US" w:eastAsia="zh-CN"/>
                    </w:rPr>
                    <w:t>7#</w:t>
                  </w:r>
                </w:p>
                <w:p>
                  <w:pPr>
                    <w:pStyle w:val="82"/>
                    <w:spacing w:before="22" w:line="217" w:lineRule="auto"/>
                    <w:ind w:left="213"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spacing w:val="-1"/>
                    </w:rPr>
                    <w:t>（E107°01'14.67"，N32°07'26.92"</w:t>
                  </w:r>
                  <w:r>
                    <w:rPr>
                      <w:rFonts w:hint="default" w:ascii="Times New Roman" w:hAnsi="Times New Roman" w:eastAsia="仿宋" w:cs="Times New Roman"/>
                      <w:color w:val="auto"/>
                      <w:spacing w:val="-2"/>
                    </w:rPr>
                    <w:t>）</w:t>
                  </w:r>
                </w:p>
              </w:tc>
              <w:tc>
                <w:tcPr>
                  <w:tcW w:w="790"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51</w:t>
                  </w:r>
                </w:p>
              </w:tc>
              <w:tc>
                <w:tcPr>
                  <w:tcW w:w="779" w:type="dxa"/>
                  <w:shd w:val="clear" w:color="auto" w:fill="auto"/>
                  <w:vAlign w:val="top"/>
                </w:tcPr>
                <w:p>
                  <w:pPr>
                    <w:spacing w:before="220" w:line="184" w:lineRule="auto"/>
                    <w:ind w:left="294" w:leftChars="0"/>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43</w:t>
                  </w:r>
                </w:p>
              </w:tc>
              <w:tc>
                <w:tcPr>
                  <w:tcW w:w="777" w:type="dxa"/>
                  <w:shd w:val="clear" w:color="auto" w:fill="auto"/>
                  <w:vAlign w:val="top"/>
                </w:tcPr>
                <w:p>
                  <w:pPr>
                    <w:spacing w:before="236" w:line="184" w:lineRule="auto"/>
                    <w:ind w:left="291"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3"/>
                      <w:sz w:val="21"/>
                      <w:szCs w:val="21"/>
                    </w:rPr>
                    <w:t>55</w:t>
                  </w:r>
                </w:p>
              </w:tc>
              <w:tc>
                <w:tcPr>
                  <w:tcW w:w="767" w:type="dxa"/>
                  <w:shd w:val="clear" w:color="auto" w:fill="auto"/>
                  <w:vAlign w:val="top"/>
                </w:tcPr>
                <w:p>
                  <w:pPr>
                    <w:spacing w:before="233" w:line="187" w:lineRule="auto"/>
                    <w:ind w:left="279" w:leftChars="0"/>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pacing w:val="-1"/>
                      <w:sz w:val="21"/>
                      <w:szCs w:val="21"/>
                    </w:rPr>
                    <w:t>45</w:t>
                  </w:r>
                </w:p>
              </w:tc>
              <w:tc>
                <w:tcPr>
                  <w:tcW w:w="654" w:type="dxa"/>
                  <w:shd w:val="clear" w:color="auto" w:fill="auto"/>
                  <w:vAlign w:val="top"/>
                </w:tcPr>
                <w:p>
                  <w:pPr>
                    <w:pStyle w:val="82"/>
                    <w:spacing w:before="195" w:line="221" w:lineRule="auto"/>
                    <w:ind w:left="233" w:leftChars="0"/>
                    <w:rPr>
                      <w:rFonts w:hint="default" w:ascii="Times New Roman" w:hAnsi="Times New Roman" w:eastAsia="仿宋" w:cs="Times New Roman"/>
                      <w:color w:val="auto"/>
                      <w:kern w:val="2"/>
                      <w:sz w:val="21"/>
                      <w:szCs w:val="21"/>
                      <w:lang w:val="en-US" w:eastAsia="en-US" w:bidi="ar-SA"/>
                    </w:rPr>
                  </w:pPr>
                  <w:r>
                    <w:rPr>
                      <w:rFonts w:hint="default" w:ascii="Times New Roman" w:hAnsi="Times New Roman" w:eastAsia="仿宋" w:cs="Times New Roman"/>
                      <w:color w:val="auto"/>
                    </w:rPr>
                    <w:t>否</w:t>
                  </w:r>
                </w:p>
              </w:tc>
              <w:tc>
                <w:tcPr>
                  <w:tcW w:w="868" w:type="dxa"/>
                  <w:shd w:val="clear" w:color="auto" w:fill="auto"/>
                  <w:vAlign w:val="top"/>
                </w:tcPr>
                <w:p>
                  <w:pPr>
                    <w:pStyle w:val="82"/>
                    <w:spacing w:before="56" w:line="234" w:lineRule="auto"/>
                    <w:ind w:right="176" w:rightChars="0"/>
                    <w:jc w:val="center"/>
                    <w:rPr>
                      <w:rFonts w:hint="default" w:ascii="Times New Roman" w:hAnsi="Times New Roman" w:eastAsia="仿宋" w:cs="Times New Roman"/>
                      <w:color w:val="auto"/>
                      <w:spacing w:val="5"/>
                      <w:sz w:val="21"/>
                      <w:szCs w:val="21"/>
                      <w:lang w:val="en-US" w:eastAsia="en-US"/>
                    </w:rPr>
                  </w:pPr>
                  <w:r>
                    <w:rPr>
                      <w:rFonts w:hint="default" w:ascii="Times New Roman" w:hAnsi="Times New Roman" w:eastAsia="仿宋" w:cs="Times New Roman"/>
                      <w:color w:val="auto"/>
                      <w:spacing w:val="5"/>
                      <w:sz w:val="21"/>
                      <w:szCs w:val="21"/>
                    </w:rPr>
                    <w:t>非敏感目标</w:t>
                  </w:r>
                </w:p>
              </w:tc>
            </w:tr>
          </w:tbl>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由上表可知，各监测点位处昼间、夜间声环境质量均满足《声环境质量标准》（GB3096-2008）中1类标准要求，项目所在地声环境质量现状良好。</w:t>
            </w:r>
          </w:p>
          <w:p>
            <w:pPr>
              <w:adjustRightInd w:val="0"/>
              <w:snapToGrid w:val="0"/>
              <w:spacing w:line="360" w:lineRule="auto"/>
              <w:ind w:firstLine="480" w:firstLineChars="200"/>
              <w:rPr>
                <w:rFonts w:hint="eastAsia" w:ascii="Times New Roman" w:hAnsi="Times New Roman" w:eastAsia="仿宋" w:cs="Times New Roman"/>
                <w:color w:val="auto"/>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bCs/>
                <w:color w:val="auto"/>
                <w:sz w:val="24"/>
              </w:rPr>
              <w:t>与项目有关的原有环境污染和生态破坏问题</w:t>
            </w:r>
          </w:p>
        </w:tc>
        <w:tc>
          <w:tcPr>
            <w:tcW w:w="9042" w:type="dxa"/>
            <w:vAlign w:val="center"/>
          </w:tcPr>
          <w:p>
            <w:pPr>
              <w:adjustRightInd w:val="0"/>
              <w:snapToGrid w:val="0"/>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本项目建设区无原有环境污染和生态破坏问题。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生态环境保护目标</w:t>
            </w:r>
          </w:p>
        </w:tc>
        <w:tc>
          <w:tcPr>
            <w:tcW w:w="9042" w:type="dxa"/>
            <w:vAlign w:val="center"/>
          </w:tcPr>
          <w:p>
            <w:r>
              <w:t>1、评价范围</w:t>
              <w:br/>
              <w:t>（1）生态环境</w:t>
              <w:br/>
              <w:t>本工程生态环境影响评价范围确定为风机基座、施工检修道路、施工生产生活区及其周边300m范围内，升压站区周边500m范围内。</w:t>
              <w:br/>
              <w:t>（2）大气环境</w:t>
              <w:br/>
              <w:t>本项目风电场运行期采用清洁能源，污染物产生量极少，主要污染物为油烟；施工期的排放源主要为运输线路、主体工程基础开挖场地、土石方回填场地、施工机械作业场地等，大气污染物主要为粉尘（颗粒物）、THC、SO2、NO2等，为无组织排放。大气环境影响评价范围为以施工期各无组织排放源为中心，直径500m的圆形区域。</w:t>
              <w:br/>
              <w:t>（3）声环境</w:t>
              <w:br/>
              <w:t>声环境影响评价范围确定为风机周边510m以及道路两侧200m、升压站四周50m范围内区域。</w:t>
              <w:br/>
              <w:t>（4）地表水环境</w:t>
              <w:br/>
              <w:t>施工期本项目产生的施工废水经处理后回用，施工人员生活污水依托租住房屋现有设施；运行期运检人员产生的生活污水经处理后在站区综合利用。</w:t>
              <w:br/>
              <w:t>本工程地表水评价范围为：无。</w:t>
              <w:br/>
              <w:t>2、环境保护目标</w:t>
              <w:br/>
              <w:t>根据风力发电建设项目的特点，本评价将项目可能语义重复：涉及指“关联到或牵涉到”；及指“至或到达”。的环境敏感目标分为三类，即大气及声环境敏感目标、生态环境敏感目标及水环境敏感目标，具体为生态保护红线及周边居民点等。</w:t>
              <w:br/>
              <w:t>（1）生态保护目标</w:t>
              <w:br/>
              <w:t>通过现场调查及查阅相关资料，本工程评价范围内不涉及《建设项目环境影响评价分类管理名录（2021年版）》中规定的自然保护区、风景名胜区、世界文化和自然、遗产地、海洋特别保护区、饮用水水源保护区等生态敏感区，同时也不涉及《环境影响评价技术导则生态影响》（HJ19-2022）中规定的生态保护目标，包括受影响的重要物种、生态敏感区以及其他需要保护的种群、生物群落。评价范围内生态保护目标主要为有生态保护红线。</w:t>
              <w:br/>
              <w:t>①生态保护红线</w:t>
              <w:br/>
              <w:t>本项目风机与生态保护红线的最近距离约为200m。</w:t>
              <w:br/>
              <w:br/>
              <w:t>图3-2  本工程与生态红线位置关系图</w:t>
              <w:br/>
              <w:t>表3-4 本工程生态环境保护目标一览表</w:t>
              <w:br/>
              <w:br/>
              <w:t>（2）地表水环境保护目标</w:t>
              <w:br/>
              <w:t>根据《四川省人民政府关于同意划定、调整部分集中式饮用水水源保护区的批复》(川府函〔2017]145号)、《巴中市人民政府关于同意调整划定南江县公山镇卫星村石人寺水库等51个乡镇集中式饮用水水源保护区的批复》(巴府函[2020]27号)，项目用地范围不在南江县县城和乡镇集中式饮用水水源保护区内，本工程不涉及地表水环境保护目标。</w:t>
              <w:br/>
              <w:t>（3）大气环境目标</w:t>
              <w:br/>
              <w:t>风机基座、道路两侧和升压站周边500m范围内无大气环境保护目标。</w:t>
              <w:br/>
              <w:t>（4）声环境保护目标</w:t>
              <w:br/>
              <w:t>升压站周边50m范围内、风机基座周边510m、道路两侧200m范围内无声环境保护目标。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456" w:type="dxa"/>
            <w:vAlign w:val="center"/>
          </w:tcPr>
          <w:p>
            <w:pPr>
              <w:adjustRightInd w:val="0"/>
              <w:snapToGrid w:val="0"/>
              <w:jc w:val="center"/>
              <w:rPr>
                <w:rFonts w:hint="default" w:ascii="Times New Roman" w:hAnsi="Times New Roman" w:eastAsia="仿宋" w:cs="Times New Roman"/>
                <w:color w:val="auto"/>
                <w:kern w:val="0"/>
                <w:sz w:val="24"/>
                <w:lang w:val="en-US" w:eastAsia="zh-CN"/>
              </w:rPr>
            </w:pPr>
            <w:r>
              <w:rPr>
                <w:rFonts w:hint="eastAsia" w:eastAsia="仿宋" w:cs="Times New Roman"/>
                <w:color w:val="auto"/>
                <w:kern w:val="0"/>
                <w:sz w:val="24"/>
                <w:lang w:val="en-US" w:eastAsia="zh-CN"/>
              </w:rPr>
              <w:t>评价标准</w:t>
            </w:r>
          </w:p>
        </w:tc>
        <w:tc>
          <w:tcPr>
            <w:tcW w:w="9042" w:type="dxa"/>
            <w:vAlign w:val="center"/>
          </w:tcPr>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1、环境质量标准</w:t>
            </w:r>
          </w:p>
          <w:p>
            <w:pPr>
              <w:spacing w:line="360" w:lineRule="auto"/>
              <w:ind w:firstLine="480" w:firstLineChars="200"/>
              <w:rPr>
                <w:rFonts w:hint="eastAsia" w:eastAsia="仿宋" w:cs="Times New Roman"/>
                <w:color w:val="auto"/>
                <w:sz w:val="24"/>
                <w:lang w:val="en-US" w:eastAsia="zh-CN"/>
              </w:rPr>
            </w:pPr>
            <w:r>
              <w:rPr>
                <w:rFonts w:hint="eastAsia" w:eastAsia="仿宋" w:cs="Times New Roman"/>
                <w:color w:val="auto"/>
                <w:sz w:val="24"/>
                <w:lang w:val="en-US" w:eastAsia="zh-CN"/>
              </w:rPr>
              <w:t>①地表水环境：</w:t>
            </w:r>
          </w:p>
          <w:p>
            <w:pPr>
              <w:spacing w:line="360" w:lineRule="auto"/>
              <w:ind w:firstLine="480" w:firstLineChars="200"/>
              <w:rPr>
                <w:rFonts w:hint="default" w:eastAsia="仿宋" w:cs="Times New Roman"/>
                <w:color w:val="auto"/>
                <w:sz w:val="24"/>
                <w:lang w:val="en-US" w:eastAsia="zh-CN"/>
              </w:rPr>
            </w:pPr>
            <w:r>
              <w:rPr>
                <w:rFonts w:hint="eastAsia" w:eastAsia="仿宋" w:cs="Times New Roman"/>
                <w:color w:val="auto"/>
                <w:sz w:val="24"/>
                <w:lang w:val="en-US" w:eastAsia="zh-CN"/>
              </w:rPr>
              <w:t>项目所在区域南江河</w:t>
            </w:r>
            <w:r>
              <w:rPr>
                <w:rFonts w:hint="default" w:ascii="Times New Roman" w:hAnsi="Times New Roman" w:eastAsia="仿宋" w:cs="Times New Roman"/>
                <w:color w:val="auto"/>
                <w:sz w:val="24"/>
                <w:lang w:val="en-US" w:eastAsia="zh-CN"/>
              </w:rPr>
              <w:t>执行《地表水环境质量标准》（GB3838-2002）中</w:t>
            </w:r>
            <w:r>
              <w:rPr>
                <w:rFonts w:hint="eastAsia" w:eastAsia="仿宋" w:cs="Times New Roman"/>
                <w:color w:val="auto"/>
                <w:sz w:val="24"/>
                <w:lang w:val="en-US" w:eastAsia="zh-CN"/>
              </w:rPr>
              <w:t>相关</w:t>
            </w:r>
            <w:r>
              <w:rPr>
                <w:rFonts w:hint="default" w:ascii="Times New Roman" w:hAnsi="Times New Roman" w:eastAsia="仿宋" w:cs="Times New Roman"/>
                <w:color w:val="auto"/>
                <w:sz w:val="24"/>
                <w:lang w:val="en-US" w:eastAsia="zh-CN"/>
              </w:rPr>
              <w:t>标准</w:t>
            </w:r>
            <w:r>
              <w:rPr>
                <w:rFonts w:hint="eastAsia" w:eastAsia="仿宋" w:cs="Times New Roman"/>
                <w:color w:val="auto"/>
                <w:sz w:val="24"/>
                <w:lang w:val="en-US" w:eastAsia="zh-CN"/>
              </w:rPr>
              <w:t>。</w:t>
            </w:r>
          </w:p>
          <w:p>
            <w:pPr>
              <w:spacing w:line="360" w:lineRule="auto"/>
              <w:ind w:firstLine="480" w:firstLineChars="200"/>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②</w:t>
            </w:r>
            <w:r>
              <w:rPr>
                <w:rFonts w:hint="default" w:ascii="Times New Roman" w:hAnsi="Times New Roman" w:eastAsia="仿宋" w:cs="Times New Roman"/>
                <w:color w:val="auto"/>
                <w:sz w:val="24"/>
                <w:lang w:val="en-US" w:eastAsia="zh-CN"/>
              </w:rPr>
              <w:t>大气环境：</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项目所在区域环境空气质量执行《环境空气质量标准》（GB3095-2012）中二级标准，具体见下表。</w:t>
            </w:r>
          </w:p>
          <w:p>
            <w:pPr>
              <w:spacing w:line="360" w:lineRule="auto"/>
              <w:ind w:firstLine="480" w:firstLineChars="200"/>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③</w:t>
            </w:r>
            <w:r>
              <w:rPr>
                <w:rFonts w:hint="default" w:ascii="Times New Roman" w:hAnsi="Times New Roman" w:eastAsia="仿宋" w:cs="Times New Roman"/>
                <w:color w:val="auto"/>
                <w:sz w:val="24"/>
                <w:lang w:val="en-US" w:eastAsia="zh-CN"/>
              </w:rPr>
              <w:t>声环境</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本项目位于乡村区域的声环境功能区划为1类区，执行《声环境质量标准》（GB3096-2008）中1类标准要求，详见下表。</w:t>
            </w:r>
          </w:p>
          <w:p>
            <w:pPr>
              <w:spacing w:line="360" w:lineRule="auto"/>
              <w:ind w:firstLine="422" w:firstLineChars="20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eastAsia="仿宋" w:cs="Times New Roman"/>
                <w:b/>
                <w:bCs/>
                <w:color w:val="auto"/>
                <w:sz w:val="21"/>
                <w:szCs w:val="21"/>
                <w:lang w:val="en-US" w:eastAsia="zh-CN"/>
              </w:rPr>
              <w:t>5</w:t>
            </w:r>
            <w:r>
              <w:rPr>
                <w:rFonts w:hint="eastAsia"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lang w:val="en-US" w:eastAsia="zh-CN"/>
              </w:rPr>
              <w:t>项目所在区域执行的环境质量标准一览表</w:t>
            </w:r>
          </w:p>
          <w:tbl>
            <w:tblPr>
              <w:tblStyle w:val="83"/>
              <w:tblW w:w="4997" w:type="pct"/>
              <w:tblInd w:w="2"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3"/>
              <w:gridCol w:w="2178"/>
              <w:gridCol w:w="635"/>
              <w:gridCol w:w="1178"/>
              <w:gridCol w:w="2913"/>
              <w:gridCol w:w="117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77" w:type="pct"/>
                  <w:vMerge w:val="restart"/>
                  <w:tcBorders>
                    <w:top w:val="single" w:color="000000" w:sz="10" w:space="0"/>
                    <w:bottom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类别</w:t>
                  </w:r>
                </w:p>
              </w:tc>
              <w:tc>
                <w:tcPr>
                  <w:tcW w:w="1218" w:type="pct"/>
                  <w:vMerge w:val="restart"/>
                  <w:tcBorders>
                    <w:top w:val="single" w:color="000000" w:sz="10" w:space="0"/>
                    <w:bottom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标准名称</w:t>
                  </w:r>
                </w:p>
              </w:tc>
              <w:tc>
                <w:tcPr>
                  <w:tcW w:w="355" w:type="pct"/>
                  <w:vMerge w:val="restart"/>
                  <w:tcBorders>
                    <w:top w:val="single" w:color="000000" w:sz="10" w:space="0"/>
                    <w:bottom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类别</w:t>
                  </w:r>
                </w:p>
              </w:tc>
              <w:tc>
                <w:tcPr>
                  <w:tcW w:w="2288" w:type="pct"/>
                  <w:gridSpan w:val="2"/>
                  <w:tcBorders>
                    <w:top w:val="single" w:color="000000" w:sz="10" w:space="0"/>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标准限值</w:t>
                  </w:r>
                </w:p>
              </w:tc>
              <w:tc>
                <w:tcPr>
                  <w:tcW w:w="659" w:type="pct"/>
                  <w:vMerge w:val="restart"/>
                  <w:tcBorders>
                    <w:top w:val="single" w:color="000000" w:sz="10" w:space="0"/>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eastAsia" w:ascii="Times New Roman" w:hAnsi="Times New Roman" w:eastAsia="仿宋" w:cs="Times New Roman"/>
                      <w:b/>
                      <w:bCs/>
                      <w:color w:val="auto"/>
                      <w:lang w:val="en-US" w:eastAsia="zh-CN"/>
                    </w:rPr>
                    <w:t>评价对象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77" w:type="pct"/>
                  <w:vMerge w:val="continue"/>
                  <w:tcBorders>
                    <w:top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218" w:type="pct"/>
                  <w:vMerge w:val="continue"/>
                  <w:tcBorders>
                    <w:top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tcBorders>
                    <w:top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参数名称</w:t>
                  </w:r>
                </w:p>
              </w:tc>
              <w:tc>
                <w:tcPr>
                  <w:tcW w:w="1629" w:type="pct"/>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限值</w:t>
                  </w:r>
                </w:p>
              </w:tc>
              <w:tc>
                <w:tcPr>
                  <w:tcW w:w="659" w:type="pct"/>
                  <w:vMerge w:val="continue"/>
                  <w:vAlign w:val="center"/>
                </w:tcPr>
                <w:p>
                  <w:pPr>
                    <w:pStyle w:val="82"/>
                    <w:spacing w:before="69" w:line="221" w:lineRule="auto"/>
                    <w:ind w:left="1152"/>
                    <w:jc w:val="center"/>
                    <w:rPr>
                      <w:b/>
                      <w:bCs/>
                      <w:color w:val="auto"/>
                      <w:spacing w:val="-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地表水</w:t>
                  </w:r>
                </w:p>
              </w:tc>
              <w:tc>
                <w:tcPr>
                  <w:tcW w:w="1218"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《地表水环境质量标准》（GB3838-2002）</w:t>
                  </w:r>
                </w:p>
              </w:tc>
              <w:tc>
                <w:tcPr>
                  <w:tcW w:w="355" w:type="pct"/>
                  <w:vMerge w:val="restar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I类</w:t>
                  </w: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pH</w:t>
                  </w:r>
                </w:p>
              </w:tc>
              <w:tc>
                <w:tcPr>
                  <w:tcW w:w="162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6~9</w:t>
                  </w:r>
                </w:p>
              </w:tc>
              <w:tc>
                <w:tcPr>
                  <w:tcW w:w="659"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南江河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DO</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7.5</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COD</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15</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BOD</w:t>
                  </w:r>
                  <w:r>
                    <w:rPr>
                      <w:rFonts w:hint="eastAsia" w:ascii="Times New Roman" w:hAnsi="Times New Roman" w:eastAsia="仿宋" w:cs="Times New Roman"/>
                      <w:color w:val="auto"/>
                      <w:vertAlign w:val="subscript"/>
                      <w:lang w:val="en-US" w:eastAsia="zh-CN"/>
                    </w:rPr>
                    <w:t>5</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NH</w:t>
                  </w:r>
                  <w:r>
                    <w:rPr>
                      <w:rFonts w:hint="eastAsia" w:ascii="Times New Roman" w:hAnsi="Times New Roman" w:eastAsia="仿宋" w:cs="Times New Roman"/>
                      <w:color w:val="auto"/>
                      <w:vertAlign w:val="subscript"/>
                      <w:lang w:val="en-US" w:eastAsia="zh-CN"/>
                    </w:rPr>
                    <w:t>3</w:t>
                  </w:r>
                  <w:r>
                    <w:rPr>
                      <w:rFonts w:hint="eastAsia" w:ascii="Times New Roman" w:hAnsi="Times New Roman" w:eastAsia="仿宋" w:cs="Times New Roman"/>
                      <w:color w:val="auto"/>
                      <w:lang w:val="en-US" w:eastAsia="zh-CN"/>
                    </w:rPr>
                    <w:t>-N</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0.15</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TP</w:t>
                  </w:r>
                </w:p>
              </w:tc>
              <w:tc>
                <w:tcPr>
                  <w:tcW w:w="162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0.02（湖、库0.01）</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restar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II类</w:t>
                  </w: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pH</w:t>
                  </w:r>
                </w:p>
              </w:tc>
              <w:tc>
                <w:tcPr>
                  <w:tcW w:w="162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6~9</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DO</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6</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COD</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15</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BOD</w:t>
                  </w:r>
                  <w:r>
                    <w:rPr>
                      <w:rFonts w:hint="eastAsia" w:ascii="Times New Roman" w:hAnsi="Times New Roman" w:eastAsia="仿宋" w:cs="Times New Roman"/>
                      <w:color w:val="auto"/>
                      <w:vertAlign w:val="subscript"/>
                      <w:lang w:val="en-US" w:eastAsia="zh-CN"/>
                    </w:rPr>
                    <w:t>5</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NH</w:t>
                  </w:r>
                  <w:r>
                    <w:rPr>
                      <w:rFonts w:hint="eastAsia" w:ascii="Times New Roman" w:hAnsi="Times New Roman" w:eastAsia="仿宋" w:cs="Times New Roman"/>
                      <w:color w:val="auto"/>
                      <w:vertAlign w:val="subscript"/>
                      <w:lang w:val="en-US" w:eastAsia="zh-CN"/>
                    </w:rPr>
                    <w:t>3</w:t>
                  </w:r>
                  <w:r>
                    <w:rPr>
                      <w:rFonts w:hint="eastAsia" w:ascii="Times New Roman" w:hAnsi="Times New Roman" w:eastAsia="仿宋" w:cs="Times New Roman"/>
                      <w:color w:val="auto"/>
                      <w:lang w:val="en-US" w:eastAsia="zh-CN"/>
                    </w:rPr>
                    <w:t>-N</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0.5</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TP</w:t>
                  </w:r>
                </w:p>
              </w:tc>
              <w:tc>
                <w:tcPr>
                  <w:tcW w:w="1629" w:type="pct"/>
                  <w:vAlign w:val="center"/>
                </w:tcPr>
                <w:p>
                  <w:pPr>
                    <w:pStyle w:val="82"/>
                    <w:spacing w:before="51" w:line="221" w:lineRule="auto"/>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0.1（湖、库0.025）</w:t>
                  </w:r>
                </w:p>
              </w:tc>
              <w:tc>
                <w:tcPr>
                  <w:tcW w:w="659"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III类</w:t>
                  </w: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pH</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6~9</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DO</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5</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COD</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20</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BOD</w:t>
                  </w:r>
                  <w:r>
                    <w:rPr>
                      <w:rFonts w:hint="eastAsia" w:ascii="Times New Roman" w:hAnsi="Times New Roman" w:eastAsia="仿宋" w:cs="Times New Roman"/>
                      <w:color w:val="auto"/>
                      <w:vertAlign w:val="subscript"/>
                      <w:lang w:val="en-US" w:eastAsia="zh-CN"/>
                    </w:rPr>
                    <w:t>5</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4</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NH</w:t>
                  </w:r>
                  <w:r>
                    <w:rPr>
                      <w:rFonts w:hint="eastAsia" w:ascii="Times New Roman" w:hAnsi="Times New Roman" w:eastAsia="仿宋" w:cs="Times New Roman"/>
                      <w:color w:val="auto"/>
                      <w:vertAlign w:val="subscript"/>
                      <w:lang w:val="en-US" w:eastAsia="zh-CN"/>
                    </w:rPr>
                    <w:t>3</w:t>
                  </w:r>
                  <w:r>
                    <w:rPr>
                      <w:rFonts w:hint="eastAsia" w:ascii="Times New Roman" w:hAnsi="Times New Roman" w:eastAsia="仿宋" w:cs="Times New Roman"/>
                      <w:color w:val="auto"/>
                      <w:lang w:val="en-US" w:eastAsia="zh-CN"/>
                    </w:rPr>
                    <w:t>-N</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1.0</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continue"/>
                  <w:tcBorders>
                    <w:bottom w:val="nil"/>
                  </w:tcBorders>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218" w:type="pct"/>
                  <w:vMerge w:val="continue"/>
                  <w:tcBorders>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tcBorders>
                    <w:bottom w:val="nil"/>
                  </w:tcBorders>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TP</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0.2（湖、库0.05）</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77" w:type="pct"/>
                  <w:vMerge w:val="restart"/>
                  <w:tcBorders>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环境空气</w:t>
                  </w:r>
                </w:p>
              </w:tc>
              <w:tc>
                <w:tcPr>
                  <w:tcW w:w="1218" w:type="pct"/>
                  <w:vMerge w:val="restart"/>
                  <w:tcBorders>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《环境空气质量标准》</w:t>
                  </w:r>
                </w:p>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（GB3095-2012）</w:t>
                  </w:r>
                </w:p>
              </w:tc>
              <w:tc>
                <w:tcPr>
                  <w:tcW w:w="355" w:type="pct"/>
                  <w:vMerge w:val="restart"/>
                  <w:tcBorders>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二级</w:t>
                  </w: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SO</w:t>
                  </w:r>
                  <w:r>
                    <w:rPr>
                      <w:rFonts w:hint="default" w:ascii="Times New Roman" w:hAnsi="Times New Roman" w:eastAsia="仿宋" w:cs="Times New Roman"/>
                      <w:color w:val="auto"/>
                      <w:vertAlign w:val="subscript"/>
                      <w:lang w:val="en-US" w:eastAsia="zh-CN"/>
                    </w:rPr>
                    <w:t>2</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年平均0.60mg/m</w:t>
                  </w:r>
                  <w:r>
                    <w:rPr>
                      <w:rFonts w:hint="default" w:ascii="Times New Roman" w:hAnsi="Times New Roman" w:eastAsia="仿宋" w:cs="Times New Roman"/>
                      <w:color w:val="auto"/>
                      <w:vertAlign w:val="superscript"/>
                      <w:lang w:val="en-US" w:eastAsia="zh-CN"/>
                    </w:rPr>
                    <w:t>3</w:t>
                  </w:r>
                </w:p>
              </w:tc>
              <w:tc>
                <w:tcPr>
                  <w:tcW w:w="659"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项目所在区域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77"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218"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CO</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24小时平均0.004mg/m</w:t>
                  </w:r>
                  <w:r>
                    <w:rPr>
                      <w:rFonts w:hint="default" w:ascii="Times New Roman" w:hAnsi="Times New Roman" w:eastAsia="仿宋" w:cs="Times New Roman"/>
                      <w:color w:val="auto"/>
                      <w:vertAlign w:val="superscript"/>
                      <w:lang w:val="en-US" w:eastAsia="zh-CN"/>
                    </w:rPr>
                    <w:t>3</w:t>
                  </w:r>
                </w:p>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1小时平均0.01mg/m</w:t>
                  </w:r>
                  <w:r>
                    <w:rPr>
                      <w:rFonts w:hint="default" w:ascii="Times New Roman" w:hAnsi="Times New Roman" w:eastAsia="仿宋" w:cs="Times New Roman"/>
                      <w:color w:val="auto"/>
                      <w:vertAlign w:val="superscript"/>
                      <w:lang w:val="en-US" w:eastAsia="zh-CN"/>
                    </w:rPr>
                    <w:t>3</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77"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218"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O</w:t>
                  </w:r>
                  <w:r>
                    <w:rPr>
                      <w:rFonts w:hint="default" w:ascii="Times New Roman" w:hAnsi="Times New Roman" w:eastAsia="仿宋" w:cs="Times New Roman"/>
                      <w:color w:val="auto"/>
                      <w:vertAlign w:val="subscript"/>
                      <w:lang w:val="en-US" w:eastAsia="zh-CN"/>
                    </w:rPr>
                    <w:t>3</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日最大8小时平均0.16mg/m</w:t>
                  </w:r>
                  <w:r>
                    <w:rPr>
                      <w:rFonts w:hint="default" w:ascii="Times New Roman" w:hAnsi="Times New Roman" w:eastAsia="仿宋" w:cs="Times New Roman"/>
                      <w:color w:val="auto"/>
                      <w:vertAlign w:val="superscript"/>
                      <w:lang w:val="en-US" w:eastAsia="zh-CN"/>
                    </w:rPr>
                    <w:t>3</w:t>
                  </w:r>
                </w:p>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1小时平均0.20mg/m</w:t>
                  </w:r>
                  <w:r>
                    <w:rPr>
                      <w:rFonts w:hint="default" w:ascii="Times New Roman" w:hAnsi="Times New Roman" w:eastAsia="仿宋" w:cs="Times New Roman"/>
                      <w:color w:val="auto"/>
                      <w:vertAlign w:val="superscript"/>
                      <w:lang w:val="en-US" w:eastAsia="zh-CN"/>
                    </w:rPr>
                    <w:t>3</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77"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218"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PM</w:t>
                  </w:r>
                  <w:r>
                    <w:rPr>
                      <w:rFonts w:hint="default" w:ascii="Times New Roman" w:hAnsi="Times New Roman" w:eastAsia="仿宋" w:cs="Times New Roman"/>
                      <w:color w:val="auto"/>
                      <w:vertAlign w:val="subscript"/>
                      <w:lang w:val="en-US" w:eastAsia="zh-CN"/>
                    </w:rPr>
                    <w:t>10</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年平均0.07mg/m</w:t>
                  </w:r>
                  <w:r>
                    <w:rPr>
                      <w:rFonts w:hint="default" w:ascii="Times New Roman" w:hAnsi="Times New Roman" w:eastAsia="仿宋" w:cs="Times New Roman"/>
                      <w:color w:val="auto"/>
                      <w:vertAlign w:val="superscript"/>
                      <w:lang w:val="en-US" w:eastAsia="zh-CN"/>
                    </w:rPr>
                    <w:t>3</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77"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218"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tcBorders>
                    <w:top w:val="nil"/>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NO</w:t>
                  </w:r>
                  <w:r>
                    <w:rPr>
                      <w:rFonts w:hint="default" w:ascii="Times New Roman" w:hAnsi="Times New Roman" w:eastAsia="仿宋" w:cs="Times New Roman"/>
                      <w:color w:val="auto"/>
                      <w:vertAlign w:val="subscript"/>
                      <w:lang w:val="en-US" w:eastAsia="zh-CN"/>
                    </w:rPr>
                    <w:t>2</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年平均0.04mg/m</w:t>
                  </w:r>
                  <w:r>
                    <w:rPr>
                      <w:rFonts w:hint="default" w:ascii="Times New Roman" w:hAnsi="Times New Roman" w:eastAsia="仿宋" w:cs="Times New Roman"/>
                      <w:color w:val="auto"/>
                      <w:vertAlign w:val="superscript"/>
                      <w:lang w:val="en-US" w:eastAsia="zh-CN"/>
                    </w:rPr>
                    <w:t>3</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477" w:type="pct"/>
                  <w:vMerge w:val="continue"/>
                  <w:tcBorders>
                    <w:top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218" w:type="pct"/>
                  <w:vMerge w:val="continue"/>
                  <w:tcBorders>
                    <w:top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355" w:type="pct"/>
                  <w:vMerge w:val="continue"/>
                  <w:tcBorders>
                    <w:top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PM</w:t>
                  </w:r>
                  <w:r>
                    <w:rPr>
                      <w:rFonts w:hint="default" w:ascii="Times New Roman" w:hAnsi="Times New Roman" w:eastAsia="仿宋" w:cs="Times New Roman"/>
                      <w:color w:val="auto"/>
                      <w:vertAlign w:val="subscript"/>
                      <w:lang w:val="en-US" w:eastAsia="zh-CN"/>
                    </w:rPr>
                    <w:t>2.5</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年平均0.035mg/m</w:t>
                  </w:r>
                  <w:r>
                    <w:rPr>
                      <w:rFonts w:hint="default" w:ascii="Times New Roman" w:hAnsi="Times New Roman" w:eastAsia="仿宋" w:cs="Times New Roman"/>
                      <w:color w:val="auto"/>
                      <w:vertAlign w:val="superscript"/>
                      <w:lang w:val="en-US" w:eastAsia="zh-CN"/>
                    </w:rPr>
                    <w:t>3</w:t>
                  </w:r>
                </w:p>
              </w:tc>
              <w:tc>
                <w:tcPr>
                  <w:tcW w:w="659"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77"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声环境</w:t>
                  </w:r>
                </w:p>
              </w:tc>
              <w:tc>
                <w:tcPr>
                  <w:tcW w:w="1218"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《声环境质量标准》（GB3096-2008）</w:t>
                  </w:r>
                </w:p>
              </w:tc>
              <w:tc>
                <w:tcPr>
                  <w:tcW w:w="355"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1类</w:t>
                  </w: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等效连续A声级</w:t>
                  </w:r>
                </w:p>
              </w:tc>
              <w:tc>
                <w:tcPr>
                  <w:tcW w:w="162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昼间55dB（A）夜间45dB（A）</w:t>
                  </w:r>
                </w:p>
              </w:tc>
              <w:tc>
                <w:tcPr>
                  <w:tcW w:w="659"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项目所在乡村区域</w:t>
                  </w:r>
                </w:p>
              </w:tc>
            </w:tr>
          </w:tbl>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2、污染物排放标准</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①大气污染物</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本工程施工期扬尘执行《大气污染物综合排放标准》（GB16297-1996）中无组织排放监控浓度限值：施工场界颗粒物浓度限值1.0mg/m</w:t>
            </w:r>
            <w:r>
              <w:rPr>
                <w:rFonts w:hint="default" w:ascii="Times New Roman" w:hAnsi="Times New Roman" w:eastAsia="仿宋" w:cs="Times New Roman"/>
                <w:color w:val="auto"/>
                <w:sz w:val="24"/>
                <w:vertAlign w:val="superscript"/>
                <w:lang w:val="en-US" w:eastAsia="zh-CN"/>
              </w:rPr>
              <w:t>3</w:t>
            </w:r>
            <w:r>
              <w:rPr>
                <w:rFonts w:hint="default" w:ascii="Times New Roman" w:hAnsi="Times New Roman" w:eastAsia="仿宋" w:cs="Times New Roman"/>
                <w:color w:val="auto"/>
                <w:sz w:val="24"/>
                <w:lang w:val="en-US" w:eastAsia="zh-CN"/>
              </w:rPr>
              <w:t>；运行期无大气污染物排放。</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②噪声</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施工期噪声执行《建筑施工场界环境噪声排放标准》（GB12523-2011）标准；升压站运行期噪声执行《工业企业厂界环境噪声排放标准》（GB12348-2008）1类标准，详见表3-</w:t>
            </w:r>
            <w:r>
              <w:rPr>
                <w:rFonts w:hint="eastAsia" w:eastAsia="仿宋" w:cs="Times New Roman"/>
                <w:color w:val="auto"/>
                <w:sz w:val="24"/>
                <w:lang w:val="en-US" w:eastAsia="zh-CN"/>
              </w:rPr>
              <w:t>9</w:t>
            </w:r>
            <w:r>
              <w:rPr>
                <w:rFonts w:hint="default" w:ascii="Times New Roman" w:hAnsi="Times New Roman" w:eastAsia="仿宋" w:cs="Times New Roman"/>
                <w:color w:val="auto"/>
                <w:sz w:val="24"/>
                <w:lang w:val="en-US" w:eastAsia="zh-CN"/>
              </w:rPr>
              <w:t>。</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③废水</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施工期本项目产生的施工废水经处理后回用，生活污水经化粪池处理后综合利用；风电场运行期运检人员产生的生活污水经处理</w:t>
            </w:r>
            <w:r>
              <w:rPr>
                <w:rFonts w:hint="eastAsia" w:eastAsia="仿宋" w:cs="Times New Roman"/>
                <w:color w:val="auto"/>
                <w:sz w:val="24"/>
                <w:lang w:val="en-US" w:eastAsia="zh-CN"/>
              </w:rPr>
              <w:t>满足《农田灌溉水质标准》（GB5084-2021）中旱地作物标准</w:t>
            </w:r>
            <w:r>
              <w:rPr>
                <w:rFonts w:hint="default" w:ascii="Times New Roman" w:hAnsi="Times New Roman" w:eastAsia="仿宋" w:cs="Times New Roman"/>
                <w:color w:val="auto"/>
                <w:sz w:val="24"/>
                <w:lang w:val="en-US" w:eastAsia="zh-CN"/>
              </w:rPr>
              <w:t>后在站区综合利用。</w:t>
            </w:r>
          </w:p>
          <w:p>
            <w:pPr>
              <w:spacing w:line="360" w:lineRule="auto"/>
              <w:ind w:firstLine="422" w:firstLineChars="20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w:t>
            </w:r>
            <w:r>
              <w:rPr>
                <w:rFonts w:hint="eastAsia" w:eastAsia="仿宋" w:cs="Times New Roman"/>
                <w:b/>
                <w:bCs/>
                <w:color w:val="auto"/>
                <w:sz w:val="21"/>
                <w:szCs w:val="21"/>
                <w:lang w:val="en-US" w:eastAsia="zh-CN"/>
              </w:rPr>
              <w:t>6</w:t>
            </w:r>
            <w:r>
              <w:rPr>
                <w:rFonts w:hint="eastAsia"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lang w:val="en-US" w:eastAsia="zh-CN"/>
              </w:rPr>
              <w:t>项目污染物排放标准一览表</w:t>
            </w:r>
          </w:p>
          <w:tbl>
            <w:tblPr>
              <w:tblStyle w:val="83"/>
              <w:tblW w:w="4997" w:type="pct"/>
              <w:tblInd w:w="2"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33"/>
              <w:gridCol w:w="2963"/>
              <w:gridCol w:w="844"/>
              <w:gridCol w:w="1209"/>
              <w:gridCol w:w="1668"/>
              <w:gridCol w:w="171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Merge w:val="restart"/>
                  <w:tcBorders>
                    <w:top w:val="single" w:color="000000" w:sz="10" w:space="0"/>
                    <w:bottom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类别</w:t>
                  </w:r>
                </w:p>
              </w:tc>
              <w:tc>
                <w:tcPr>
                  <w:tcW w:w="1657" w:type="pct"/>
                  <w:vMerge w:val="restart"/>
                  <w:tcBorders>
                    <w:top w:val="single" w:color="000000" w:sz="10" w:space="0"/>
                    <w:bottom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标准名称</w:t>
                  </w:r>
                </w:p>
              </w:tc>
              <w:tc>
                <w:tcPr>
                  <w:tcW w:w="472" w:type="pct"/>
                  <w:vMerge w:val="restart"/>
                  <w:tcBorders>
                    <w:top w:val="single" w:color="000000" w:sz="10" w:space="0"/>
                    <w:bottom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类别</w:t>
                  </w:r>
                </w:p>
              </w:tc>
              <w:tc>
                <w:tcPr>
                  <w:tcW w:w="1609" w:type="pct"/>
                  <w:gridSpan w:val="2"/>
                  <w:tcBorders>
                    <w:top w:val="single" w:color="000000" w:sz="10" w:space="0"/>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标准限值</w:t>
                  </w:r>
                </w:p>
              </w:tc>
              <w:tc>
                <w:tcPr>
                  <w:tcW w:w="961" w:type="pct"/>
                  <w:vMerge w:val="restart"/>
                  <w:tcBorders>
                    <w:top w:val="single" w:color="000000" w:sz="10" w:space="0"/>
                    <w:bottom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b/>
                      <w:bCs/>
                      <w:color w:val="auto"/>
                      <w:lang w:val="en-US" w:eastAsia="zh-CN"/>
                    </w:rPr>
                    <w:t>评价对象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Merge w:val="continue"/>
                  <w:tcBorders>
                    <w:top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p>
              </w:tc>
              <w:tc>
                <w:tcPr>
                  <w:tcW w:w="1657" w:type="pct"/>
                  <w:vMerge w:val="continue"/>
                  <w:tcBorders>
                    <w:top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p>
              </w:tc>
              <w:tc>
                <w:tcPr>
                  <w:tcW w:w="472" w:type="pct"/>
                  <w:vMerge w:val="continue"/>
                  <w:tcBorders>
                    <w:top w:val="nil"/>
                  </w:tcBorders>
                  <w:vAlign w:val="center"/>
                </w:tcPr>
                <w:p>
                  <w:pPr>
                    <w:pStyle w:val="82"/>
                    <w:spacing w:before="51" w:line="221" w:lineRule="auto"/>
                    <w:jc w:val="center"/>
                    <w:rPr>
                      <w:rFonts w:hint="default" w:ascii="Times New Roman" w:hAnsi="Times New Roman" w:eastAsia="仿宋" w:cs="Times New Roman"/>
                      <w:b/>
                      <w:bCs/>
                      <w:color w:val="auto"/>
                      <w:lang w:val="en-US" w:eastAsia="zh-CN"/>
                    </w:rPr>
                  </w:pPr>
                </w:p>
              </w:tc>
              <w:tc>
                <w:tcPr>
                  <w:tcW w:w="676" w:type="pct"/>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参数名称</w:t>
                  </w:r>
                </w:p>
              </w:tc>
              <w:tc>
                <w:tcPr>
                  <w:tcW w:w="933" w:type="pct"/>
                  <w:vAlign w:val="center"/>
                </w:tcPr>
                <w:p>
                  <w:pPr>
                    <w:pStyle w:val="82"/>
                    <w:spacing w:before="51" w:line="221" w:lineRule="auto"/>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限值</w:t>
                  </w:r>
                </w:p>
              </w:tc>
              <w:tc>
                <w:tcPr>
                  <w:tcW w:w="961" w:type="pct"/>
                  <w:vMerge w:val="continue"/>
                  <w:tcBorders>
                    <w:top w:val="nil"/>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废气</w:t>
                  </w:r>
                </w:p>
              </w:tc>
              <w:tc>
                <w:tcPr>
                  <w:tcW w:w="1657"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《大气污染物综合排放标准》</w:t>
                  </w:r>
                </w:p>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（GB16297-1996）</w:t>
                  </w:r>
                </w:p>
              </w:tc>
              <w:tc>
                <w:tcPr>
                  <w:tcW w:w="472"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表2无组织排放</w:t>
                  </w:r>
                </w:p>
              </w:tc>
              <w:tc>
                <w:tcPr>
                  <w:tcW w:w="676"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颗粒物</w:t>
                  </w:r>
                </w:p>
              </w:tc>
              <w:tc>
                <w:tcPr>
                  <w:tcW w:w="933"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1.0mg/m</w:t>
                  </w:r>
                  <w:r>
                    <w:rPr>
                      <w:rFonts w:hint="default" w:ascii="Times New Roman" w:hAnsi="Times New Roman" w:eastAsia="仿宋" w:cs="Times New Roman"/>
                      <w:color w:val="auto"/>
                      <w:vertAlign w:val="superscript"/>
                      <w:lang w:val="en-US" w:eastAsia="zh-CN"/>
                    </w:rPr>
                    <w:t>3</w:t>
                  </w:r>
                </w:p>
              </w:tc>
              <w:tc>
                <w:tcPr>
                  <w:tcW w:w="961"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施工期扬尘</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Merge w:val="restart"/>
                  <w:tcBorders>
                    <w:bottom w:val="single" w:color="auto" w:sz="4" w:space="0"/>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噪声</w:t>
                  </w:r>
                </w:p>
              </w:tc>
              <w:tc>
                <w:tcPr>
                  <w:tcW w:w="1657"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《建筑施工场界环境噪声排放标准》（GB12523-2011）</w:t>
                  </w:r>
                </w:p>
              </w:tc>
              <w:tc>
                <w:tcPr>
                  <w:tcW w:w="472"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p>
              </w:tc>
              <w:tc>
                <w:tcPr>
                  <w:tcW w:w="676"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等效连续A声级</w:t>
                  </w:r>
                </w:p>
              </w:tc>
              <w:tc>
                <w:tcPr>
                  <w:tcW w:w="933"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昼间70dB(A)夜间55dB(A)</w:t>
                  </w:r>
                </w:p>
              </w:tc>
              <w:tc>
                <w:tcPr>
                  <w:tcW w:w="961"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施工场界噪声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Merge w:val="continue"/>
                  <w:tcBorders>
                    <w:top w:val="single" w:color="auto" w:sz="4" w:space="0"/>
                    <w:bottom w:val="single" w:color="auto" w:sz="4" w:space="0"/>
                  </w:tcBorders>
                  <w:textDirection w:val="tbRlV"/>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1657"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《工业企业厂界环境噪声排放标准》（GB12348-2008）</w:t>
                  </w:r>
                </w:p>
              </w:tc>
              <w:tc>
                <w:tcPr>
                  <w:tcW w:w="472"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1类</w:t>
                  </w:r>
                </w:p>
              </w:tc>
              <w:tc>
                <w:tcPr>
                  <w:tcW w:w="676"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等效连续A声级</w:t>
                  </w:r>
                </w:p>
              </w:tc>
              <w:tc>
                <w:tcPr>
                  <w:tcW w:w="933"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昼间55dB(A)夜间45dB(A)</w:t>
                  </w:r>
                </w:p>
              </w:tc>
              <w:tc>
                <w:tcPr>
                  <w:tcW w:w="961"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110kV</w:t>
                  </w:r>
                  <w:r>
                    <w:rPr>
                      <w:rFonts w:hint="default" w:ascii="Times New Roman" w:hAnsi="Times New Roman" w:eastAsia="仿宋" w:cs="Times New Roman"/>
                      <w:color w:val="auto"/>
                      <w:lang w:val="en-US" w:eastAsia="zh-CN"/>
                    </w:rPr>
                    <w:t>升压站运行期厂界</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Merge w:val="restart"/>
                  <w:tcBorders>
                    <w:top w:val="single" w:color="auto" w:sz="4" w:space="0"/>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废水</w:t>
                  </w:r>
                </w:p>
              </w:tc>
              <w:tc>
                <w:tcPr>
                  <w:tcW w:w="1657"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《农田灌溉水质标准》（GB5084-2021）</w:t>
                  </w:r>
                </w:p>
              </w:tc>
              <w:tc>
                <w:tcPr>
                  <w:tcW w:w="472"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旱地作物</w:t>
                  </w:r>
                </w:p>
              </w:tc>
              <w:tc>
                <w:tcPr>
                  <w:tcW w:w="676"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pH</w:t>
                  </w:r>
                </w:p>
              </w:tc>
              <w:tc>
                <w:tcPr>
                  <w:tcW w:w="933"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5.5~8.5</w:t>
                  </w:r>
                </w:p>
              </w:tc>
              <w:tc>
                <w:tcPr>
                  <w:tcW w:w="961" w:type="pct"/>
                  <w:vMerge w:val="restar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升压站废水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657"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472" w:type="pct"/>
                  <w:vMerge w:val="continue"/>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76"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BOD</w:t>
                  </w:r>
                  <w:r>
                    <w:rPr>
                      <w:rFonts w:hint="eastAsia" w:ascii="Times New Roman" w:hAnsi="Times New Roman" w:eastAsia="仿宋" w:cs="Times New Roman"/>
                      <w:color w:val="auto"/>
                      <w:vertAlign w:val="subscript"/>
                      <w:lang w:val="en-US" w:eastAsia="zh-CN"/>
                    </w:rPr>
                    <w:t>5</w:t>
                  </w:r>
                </w:p>
              </w:tc>
              <w:tc>
                <w:tcPr>
                  <w:tcW w:w="933" w:type="pct"/>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100</w:t>
                  </w:r>
                </w:p>
              </w:tc>
              <w:tc>
                <w:tcPr>
                  <w:tcW w:w="961" w:type="pct"/>
                  <w:vMerge w:val="continue"/>
                  <w:vAlign w:val="center"/>
                </w:tcPr>
                <w:p>
                  <w:pPr>
                    <w:pStyle w:val="82"/>
                    <w:spacing w:before="51" w:line="221" w:lineRule="auto"/>
                    <w:jc w:val="center"/>
                    <w:rPr>
                      <w:rFonts w:hint="default" w:ascii="Times New Roman" w:hAnsi="Times New Roman" w:eastAsia="仿宋" w:cs="Times New Roman"/>
                      <w:color w:val="auto"/>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98" w:type="pct"/>
                  <w:vMerge w:val="continue"/>
                  <w:tcBorders>
                    <w:bottom w:val="single" w:color="000000" w:sz="10" w:space="0"/>
                  </w:tcBorders>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1657" w:type="pct"/>
                  <w:vMerge w:val="continue"/>
                  <w:tcBorders>
                    <w:bottom w:val="single" w:color="000000" w:sz="10" w:space="0"/>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c>
                <w:tcPr>
                  <w:tcW w:w="472" w:type="pct"/>
                  <w:vMerge w:val="continue"/>
                  <w:tcBorders>
                    <w:bottom w:val="single" w:color="000000" w:sz="10" w:space="0"/>
                  </w:tcBorders>
                  <w:vAlign w:val="center"/>
                </w:tcPr>
                <w:p>
                  <w:pPr>
                    <w:pStyle w:val="82"/>
                    <w:spacing w:before="51" w:line="221" w:lineRule="auto"/>
                    <w:jc w:val="center"/>
                    <w:rPr>
                      <w:rFonts w:hint="eastAsia" w:ascii="Times New Roman" w:hAnsi="Times New Roman" w:eastAsia="仿宋" w:cs="Times New Roman"/>
                      <w:color w:val="auto"/>
                      <w:lang w:val="en-US" w:eastAsia="zh-CN"/>
                    </w:rPr>
                  </w:pPr>
                </w:p>
              </w:tc>
              <w:tc>
                <w:tcPr>
                  <w:tcW w:w="676" w:type="pct"/>
                  <w:tcBorders>
                    <w:bottom w:val="single" w:color="000000" w:sz="10" w:space="0"/>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SS</w:t>
                  </w:r>
                </w:p>
              </w:tc>
              <w:tc>
                <w:tcPr>
                  <w:tcW w:w="933" w:type="pct"/>
                  <w:tcBorders>
                    <w:bottom w:val="single" w:color="000000" w:sz="10" w:space="0"/>
                  </w:tcBorders>
                  <w:vAlign w:val="center"/>
                </w:tcPr>
                <w:p>
                  <w:pPr>
                    <w:pStyle w:val="82"/>
                    <w:spacing w:before="51" w:line="221" w:lineRule="auto"/>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100</w:t>
                  </w:r>
                </w:p>
              </w:tc>
              <w:tc>
                <w:tcPr>
                  <w:tcW w:w="961" w:type="pct"/>
                  <w:vMerge w:val="continue"/>
                  <w:tcBorders>
                    <w:bottom w:val="single" w:color="000000" w:sz="10" w:space="0"/>
                  </w:tcBorders>
                  <w:vAlign w:val="center"/>
                </w:tcPr>
                <w:p>
                  <w:pPr>
                    <w:pStyle w:val="82"/>
                    <w:spacing w:before="51" w:line="221" w:lineRule="auto"/>
                    <w:jc w:val="center"/>
                    <w:rPr>
                      <w:rFonts w:hint="default" w:ascii="Times New Roman" w:hAnsi="Times New Roman" w:eastAsia="仿宋" w:cs="Times New Roman"/>
                      <w:color w:val="auto"/>
                      <w:lang w:val="en-US" w:eastAsia="zh-CN"/>
                    </w:rPr>
                  </w:pPr>
                </w:p>
              </w:tc>
            </w:tr>
          </w:tbl>
          <w:p>
            <w:pPr>
              <w:spacing w:line="360" w:lineRule="auto"/>
              <w:ind w:firstLine="468" w:firstLineChars="200"/>
              <w:rPr>
                <w:color w:val="auto"/>
                <w:spacing w:val="-3"/>
                <w:sz w:val="24"/>
                <w:szCs w:val="24"/>
              </w:rPr>
            </w:pPr>
          </w:p>
          <w:p>
            <w:pPr>
              <w:spacing w:line="360" w:lineRule="auto"/>
              <w:ind w:firstLine="468" w:firstLineChars="200"/>
              <w:rPr>
                <w:rFonts w:hint="default"/>
                <w:color w:val="auto"/>
                <w:spacing w:val="-3"/>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456" w:type="dxa"/>
            <w:vAlign w:val="center"/>
          </w:tcPr>
          <w:p>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其他</w:t>
            </w:r>
          </w:p>
        </w:tc>
        <w:tc>
          <w:tcPr>
            <w:tcW w:w="9042" w:type="dxa"/>
            <w:vAlign w:val="center"/>
          </w:tcPr>
          <w:p>
            <w:pPr>
              <w:pStyle w:val="29"/>
              <w:rPr>
                <w:rFonts w:hint="default" w:ascii="Times New Roman" w:hAnsi="Times New Roman" w:eastAsia="仿宋" w:cs="Times New Roman"/>
                <w:color w:val="auto"/>
              </w:rPr>
            </w:pPr>
            <w:r>
              <w:rPr>
                <w:rFonts w:hint="default" w:ascii="Times New Roman" w:hAnsi="Times New Roman" w:eastAsia="仿宋" w:cs="Times New Roman"/>
                <w:color w:val="auto"/>
              </w:rPr>
              <w:t>本项目无SO</w:t>
            </w:r>
            <w:r>
              <w:rPr>
                <w:rFonts w:hint="default" w:ascii="Times New Roman" w:hAnsi="Times New Roman" w:eastAsia="仿宋" w:cs="Times New Roman"/>
                <w:color w:val="auto"/>
                <w:vertAlign w:val="subscript"/>
              </w:rPr>
              <w:t>2</w:t>
            </w:r>
            <w:r>
              <w:rPr>
                <w:rFonts w:hint="default" w:ascii="Times New Roman" w:hAnsi="Times New Roman" w:eastAsia="仿宋" w:cs="Times New Roman"/>
                <w:color w:val="auto"/>
              </w:rPr>
              <w:t>、NO</w:t>
            </w:r>
            <w:r>
              <w:rPr>
                <w:rFonts w:hint="default" w:ascii="Times New Roman" w:hAnsi="Times New Roman" w:eastAsia="仿宋" w:cs="Times New Roman"/>
                <w:color w:val="auto"/>
                <w:vertAlign w:val="subscript"/>
              </w:rPr>
              <w:t>X</w:t>
            </w:r>
            <w:r>
              <w:rPr>
                <w:rFonts w:hint="default" w:ascii="Times New Roman" w:hAnsi="Times New Roman" w:eastAsia="仿宋" w:cs="Times New Roman"/>
                <w:color w:val="auto"/>
              </w:rPr>
              <w:t>排放；运行期升压站废水经处理后用作绿化浇洒，不外排，故本项目不设污染物总量控制指标。</w:t>
            </w:r>
          </w:p>
        </w:tc>
      </w:tr>
    </w:tbl>
    <w:p>
      <w:pPr>
        <w:rPr>
          <w:rFonts w:hint="default" w:ascii="Times New Roman" w:hAnsi="Times New Roman" w:eastAsia="仿宋" w:cs="Times New Roman"/>
          <w:snapToGrid w:val="0"/>
          <w:color w:val="auto"/>
          <w:sz w:val="30"/>
          <w:szCs w:val="30"/>
        </w:rPr>
      </w:pPr>
      <w:bookmarkStart w:id="7" w:name="_Toc66980747"/>
      <w:r>
        <w:rPr>
          <w:rFonts w:hint="default" w:ascii="Times New Roman" w:hAnsi="Times New Roman" w:eastAsia="仿宋" w:cs="Times New Roman"/>
          <w:snapToGrid w:val="0"/>
          <w:color w:val="auto"/>
          <w:sz w:val="30"/>
          <w:szCs w:val="30"/>
        </w:rPr>
        <w:br w:type="page"/>
      </w:r>
    </w:p>
    <w:p>
      <w:pPr>
        <w:pStyle w:val="17"/>
        <w:jc w:val="center"/>
        <w:outlineLvl w:val="0"/>
        <w:rPr>
          <w:rFonts w:hint="default" w:ascii="黑体" w:hAnsi="黑体" w:eastAsia="黑体" w:cs="黑体"/>
          <w:snapToGrid w:val="0"/>
          <w:color w:val="auto"/>
          <w:sz w:val="30"/>
          <w:szCs w:val="30"/>
        </w:rPr>
      </w:pPr>
      <w:r>
        <w:rPr>
          <w:rFonts w:hint="default" w:ascii="黑体" w:hAnsi="黑体" w:eastAsia="黑体" w:cs="黑体"/>
          <w:snapToGrid w:val="0"/>
          <w:color w:val="auto"/>
          <w:sz w:val="30"/>
          <w:szCs w:val="30"/>
        </w:rPr>
        <w:t>四、生态环境影响分析</w:t>
      </w:r>
      <w:bookmarkEnd w:id="7"/>
    </w:p>
    <w:tbl>
      <w:tblPr>
        <w:tblStyle w:val="21"/>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613" w:hRule="atLeast"/>
          <w:jc w:val="center"/>
        </w:trPr>
        <w:tc>
          <w:tcPr>
            <w:tcW w:w="879" w:type="dxa"/>
            <w:tcMar>
              <w:left w:w="28" w:type="dxa"/>
              <w:right w:w="28" w:type="dxa"/>
            </w:tcMar>
            <w:vAlign w:val="center"/>
          </w:tcPr>
          <w:p>
            <w:pPr>
              <w:pStyle w:val="17"/>
              <w:adjustRightInd w:val="0"/>
              <w:snapToGrid w:val="0"/>
              <w:spacing w:before="0" w:beforeAutospacing="0" w:after="0" w:afterAutospacing="0"/>
              <w:jc w:val="center"/>
              <w:rPr>
                <w:rFonts w:hint="default" w:ascii="Times New Roman" w:hAnsi="Times New Roman" w:eastAsia="仿宋" w:cs="Times New Roman"/>
                <w:bCs/>
                <w:color w:val="auto"/>
                <w:kern w:val="2"/>
                <w:szCs w:val="24"/>
                <w:lang w:val="en-US"/>
              </w:rPr>
            </w:pPr>
            <w:bookmarkStart w:id="8" w:name="_Hlk49796138"/>
            <w:r>
              <w:rPr>
                <w:rFonts w:hint="default" w:ascii="Times New Roman" w:hAnsi="Times New Roman" w:eastAsia="仿宋" w:cs="Times New Roman"/>
                <w:bCs/>
                <w:color w:val="auto"/>
                <w:spacing w:val="10"/>
                <w:kern w:val="2"/>
                <w:szCs w:val="24"/>
                <w:lang w:val="en-US"/>
              </w:rPr>
              <w:t>施工期生态环境影响分析</w:t>
            </w:r>
            <w:bookmarkEnd w:id="8"/>
          </w:p>
        </w:tc>
        <w:tc>
          <w:tcPr>
            <w:tcW w:w="8363" w:type="dxa"/>
          </w:tcPr>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本工程施工期产污环节具体见下图。</w:t>
            </w:r>
          </w:p>
          <w:p>
            <w:pPr>
              <w:spacing w:line="240" w:lineRule="auto"/>
              <w:ind w:firstLine="420" w:firstLineChars="200"/>
              <w:jc w:val="center"/>
              <w:rPr>
                <w:color w:val="auto"/>
              </w:rPr>
            </w:pPr>
            <w:r>
              <w:rPr>
                <w:color w:val="auto"/>
              </w:rPr>
              <w:drawing>
                <wp:inline distT="0" distB="0" distL="114300" distR="114300">
                  <wp:extent cx="3625215" cy="4655820"/>
                  <wp:effectExtent l="0" t="0" r="13335" b="1143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5"/>
                          <a:srcRect l="2581" t="467"/>
                          <a:stretch>
                            <a:fillRect/>
                          </a:stretch>
                        </pic:blipFill>
                        <pic:spPr>
                          <a:xfrm>
                            <a:off x="0" y="0"/>
                            <a:ext cx="3625215" cy="4655820"/>
                          </a:xfrm>
                          <a:prstGeom prst="rect">
                            <a:avLst/>
                          </a:prstGeom>
                          <a:noFill/>
                          <a:ln>
                            <a:noFill/>
                          </a:ln>
                        </pic:spPr>
                      </pic:pic>
                    </a:graphicData>
                  </a:graphic>
                </wp:inline>
              </w:drawing>
            </w:r>
          </w:p>
          <w:p>
            <w:pPr>
              <w:spacing w:line="240" w:lineRule="auto"/>
              <w:ind w:firstLine="482" w:firstLineChars="20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图4-1本工程施工期产污环节示意图</w:t>
            </w:r>
          </w:p>
          <w:p>
            <w:pPr>
              <w:pStyle w:val="54"/>
              <w:spacing w:line="360" w:lineRule="auto"/>
              <w:ind w:firstLine="480"/>
              <w:jc w:val="both"/>
              <w:rPr>
                <w:rFonts w:hint="default" w:ascii="Times New Roman" w:hAnsi="Times New Roman" w:eastAsia="仿宋" w:cs="Times New Roman"/>
                <w:color w:val="auto"/>
                <w:szCs w:val="24"/>
                <w:lang w:val="en-US"/>
              </w:rPr>
            </w:pPr>
            <w:r>
              <w:rPr>
                <w:rFonts w:hint="default" w:ascii="Times New Roman" w:hAnsi="Times New Roman" w:eastAsia="仿宋" w:cs="Times New Roman"/>
                <w:color w:val="auto"/>
                <w:szCs w:val="24"/>
                <w:lang w:val="en-US"/>
              </w:rPr>
              <w:t>项目占用土地主要为林地，项目区植被种类较少，无珍稀或濒危动、植物，该项目所在区域生态环境质量较好。施工期对区域生态环境的影响主要表现为：对土壤扰动后，地表植被破坏，造成水土流失。随着施工人员、机械设备的进场，人员活动、机械噪声等活动将直接影响施工区域附近的陆生动物。</w:t>
            </w:r>
          </w:p>
          <w:p>
            <w:pPr>
              <w:pStyle w:val="54"/>
              <w:spacing w:line="360" w:lineRule="auto"/>
              <w:ind w:firstLine="480"/>
              <w:jc w:val="both"/>
              <w:rPr>
                <w:rFonts w:hint="default" w:ascii="Times New Roman" w:hAnsi="Times New Roman" w:eastAsia="仿宋" w:cs="Times New Roman"/>
                <w:color w:val="auto"/>
                <w:sz w:val="24"/>
              </w:rPr>
            </w:pPr>
            <w:r>
              <w:rPr>
                <w:rFonts w:hint="default" w:ascii="Times New Roman" w:hAnsi="Times New Roman" w:eastAsia="仿宋" w:cs="Times New Roman"/>
                <w:color w:val="auto"/>
                <w:szCs w:val="24"/>
                <w:lang w:val="en-US"/>
              </w:rPr>
              <w:t>但施工期对环境的影响是暂时性的，施工结束后受影响的环境要素大多可以恢复到现状水平。具体内容如下所述：</w:t>
            </w:r>
            <w:r>
              <w:rPr>
                <w:color w:val="auto"/>
              </w:rPr>
              <mc:AlternateContent>
                <mc:Choice Requires="wps">
                  <w:drawing>
                    <wp:anchor distT="0" distB="0" distL="114300" distR="114300" simplePos="0" relativeHeight="251661312" behindDoc="0" locked="0" layoutInCell="1" allowOverlap="1">
                      <wp:simplePos x="0" y="0"/>
                      <wp:positionH relativeFrom="column">
                        <wp:posOffset>894080</wp:posOffset>
                      </wp:positionH>
                      <wp:positionV relativeFrom="paragraph">
                        <wp:posOffset>6758940</wp:posOffset>
                      </wp:positionV>
                      <wp:extent cx="6066790" cy="26130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066790" cy="2613025"/>
                              </a:xfrm>
                              <a:prstGeom prst="rect">
                                <a:avLst/>
                              </a:prstGeom>
                              <a:noFill/>
                              <a:ln>
                                <a:noFill/>
                              </a:ln>
                            </wps:spPr>
                            <wps:txbx>
                              <w:txbxContent>
                                <w:p>
                                  <w:pPr>
                                    <w:spacing w:before="19" w:line="220" w:lineRule="auto"/>
                                    <w:ind w:left="3053"/>
                                    <w:rPr>
                                      <w:rFonts w:ascii="宋体" w:hAnsi="宋体" w:eastAsia="宋体" w:cs="宋体"/>
                                      <w:sz w:val="21"/>
                                      <w:szCs w:val="21"/>
                                    </w:rPr>
                                  </w:pPr>
                                  <w:r>
                                    <w:rPr>
                                      <w:rFonts w:ascii="宋体" w:hAnsi="宋体" w:eastAsia="宋体" w:cs="宋体"/>
                                      <w:b/>
                                      <w:bCs/>
                                      <w:spacing w:val="-3"/>
                                      <w:sz w:val="21"/>
                                      <w:szCs w:val="21"/>
                                    </w:rPr>
                                    <w:t>图</w:t>
                                  </w:r>
                                  <w:r>
                                    <w:rPr>
                                      <w:rFonts w:ascii="Times New Roman" w:hAnsi="Times New Roman" w:eastAsia="Times New Roman" w:cs="Times New Roman"/>
                                      <w:b/>
                                      <w:bCs/>
                                      <w:spacing w:val="-3"/>
                                      <w:sz w:val="21"/>
                                      <w:szCs w:val="21"/>
                                    </w:rPr>
                                    <w:t>4-1</w:t>
                                  </w:r>
                                  <w:r>
                                    <w:rPr>
                                      <w:rFonts w:ascii="宋体" w:hAnsi="宋体" w:eastAsia="宋体" w:cs="宋体"/>
                                      <w:b/>
                                      <w:bCs/>
                                      <w:spacing w:val="-3"/>
                                      <w:sz w:val="21"/>
                                      <w:szCs w:val="21"/>
                                    </w:rPr>
                                    <w:t>本工程施工期产污环节示意图</w:t>
                                  </w:r>
                                </w:p>
                                <w:p>
                                  <w:pPr>
                                    <w:spacing w:before="269" w:line="219" w:lineRule="auto"/>
                                    <w:ind w:right="21"/>
                                    <w:jc w:val="right"/>
                                    <w:rPr>
                                      <w:rFonts w:ascii="宋体" w:hAnsi="宋体" w:eastAsia="宋体" w:cs="宋体"/>
                                      <w:sz w:val="24"/>
                                      <w:szCs w:val="24"/>
                                    </w:rPr>
                                  </w:pPr>
                                  <w:r>
                                    <w:rPr>
                                      <w:rFonts w:ascii="宋体" w:hAnsi="宋体" w:eastAsia="宋体" w:cs="宋体"/>
                                      <w:spacing w:val="-3"/>
                                      <w:sz w:val="24"/>
                                      <w:szCs w:val="24"/>
                                    </w:rPr>
                                    <w:t>项目占用土地主要为耕地、林地、其他草地、交通用地，项目区植被种类较少，无珍稀</w:t>
                                  </w:r>
                                </w:p>
                                <w:p>
                                  <w:pPr>
                                    <w:spacing w:before="180" w:line="220" w:lineRule="auto"/>
                                    <w:ind w:left="26"/>
                                    <w:rPr>
                                      <w:rFonts w:ascii="宋体" w:hAnsi="宋体" w:eastAsia="宋体" w:cs="宋体"/>
                                      <w:sz w:val="24"/>
                                      <w:szCs w:val="24"/>
                                    </w:rPr>
                                  </w:pPr>
                                  <w:r>
                                    <w:rPr>
                                      <w:rFonts w:ascii="宋体" w:hAnsi="宋体" w:eastAsia="宋体" w:cs="宋体"/>
                                      <w:spacing w:val="-5"/>
                                      <w:sz w:val="24"/>
                                      <w:szCs w:val="24"/>
                                    </w:rPr>
                                    <w:t>或濒危动、植物，该项目所在区域生态环境质量较好。施工期对区域</w:t>
                                  </w:r>
                                  <w:r>
                                    <w:rPr>
                                      <w:rFonts w:ascii="宋体" w:hAnsi="宋体" w:eastAsia="宋体" w:cs="宋体"/>
                                      <w:spacing w:val="-6"/>
                                      <w:sz w:val="24"/>
                                      <w:szCs w:val="24"/>
                                    </w:rPr>
                                    <w:t>生态环境的影响主要表</w:t>
                                  </w:r>
                                </w:p>
                                <w:p>
                                  <w:pPr>
                                    <w:spacing w:before="182" w:line="219" w:lineRule="auto"/>
                                    <w:ind w:left="25"/>
                                    <w:rPr>
                                      <w:rFonts w:ascii="宋体" w:hAnsi="宋体" w:eastAsia="宋体" w:cs="宋体"/>
                                      <w:sz w:val="24"/>
                                      <w:szCs w:val="24"/>
                                    </w:rPr>
                                  </w:pPr>
                                  <w:r>
                                    <w:rPr>
                                      <w:rFonts w:ascii="宋体" w:hAnsi="宋体" w:eastAsia="宋体" w:cs="宋体"/>
                                      <w:spacing w:val="-6"/>
                                      <w:sz w:val="24"/>
                                      <w:szCs w:val="24"/>
                                    </w:rPr>
                                    <w:t>现为：对土壤扰动后，地表植被破坏，造成水土流失。</w:t>
                                  </w:r>
                                  <w:r>
                                    <w:rPr>
                                      <w:rFonts w:ascii="宋体" w:hAnsi="宋体" w:eastAsia="宋体" w:cs="宋体"/>
                                      <w:spacing w:val="-7"/>
                                      <w:sz w:val="24"/>
                                      <w:szCs w:val="24"/>
                                    </w:rPr>
                                    <w:t>随着施工人员、机械设备的进场，人</w:t>
                                  </w:r>
                                </w:p>
                                <w:p>
                                  <w:pPr>
                                    <w:spacing w:before="181" w:line="219" w:lineRule="auto"/>
                                    <w:ind w:left="32"/>
                                    <w:rPr>
                                      <w:rFonts w:ascii="宋体" w:hAnsi="宋体" w:eastAsia="宋体" w:cs="宋体"/>
                                      <w:sz w:val="24"/>
                                      <w:szCs w:val="24"/>
                                    </w:rPr>
                                  </w:pPr>
                                  <w:r>
                                    <w:rPr>
                                      <w:rFonts w:ascii="宋体" w:hAnsi="宋体" w:eastAsia="宋体" w:cs="宋体"/>
                                      <w:spacing w:val="-2"/>
                                      <w:sz w:val="24"/>
                                      <w:szCs w:val="24"/>
                                    </w:rPr>
                                    <w:t>员活动、机械噪声等活动将直接影响施工区域附近的陆生动物。</w:t>
                                  </w:r>
                                </w:p>
                                <w:p>
                                  <w:pPr>
                                    <w:spacing w:before="183" w:line="220" w:lineRule="auto"/>
                                    <w:ind w:right="22"/>
                                    <w:jc w:val="right"/>
                                    <w:rPr>
                                      <w:rFonts w:ascii="宋体" w:hAnsi="宋体" w:eastAsia="宋体" w:cs="宋体"/>
                                      <w:sz w:val="24"/>
                                      <w:szCs w:val="24"/>
                                    </w:rPr>
                                  </w:pPr>
                                  <w:r>
                                    <w:rPr>
                                      <w:rFonts w:ascii="宋体" w:hAnsi="宋体" w:eastAsia="宋体" w:cs="宋体"/>
                                      <w:spacing w:val="-2"/>
                                      <w:sz w:val="24"/>
                                      <w:szCs w:val="24"/>
                                    </w:rPr>
                                    <w:t>但施工期对环境的影响是暂时性的，施工结束后</w:t>
                                  </w:r>
                                  <w:r>
                                    <w:rPr>
                                      <w:rFonts w:ascii="宋体" w:hAnsi="宋体" w:eastAsia="宋体" w:cs="宋体"/>
                                      <w:spacing w:val="-3"/>
                                      <w:sz w:val="24"/>
                                      <w:szCs w:val="24"/>
                                    </w:rPr>
                                    <w:t>受影响的环境要素大多可以恢复到现状</w:t>
                                  </w:r>
                                </w:p>
                                <w:p>
                                  <w:pPr>
                                    <w:spacing w:before="180" w:line="220" w:lineRule="auto"/>
                                    <w:ind w:left="26"/>
                                    <w:rPr>
                                      <w:rFonts w:ascii="宋体" w:hAnsi="宋体" w:eastAsia="宋体" w:cs="宋体"/>
                                      <w:sz w:val="24"/>
                                      <w:szCs w:val="24"/>
                                    </w:rPr>
                                  </w:pPr>
                                  <w:r>
                                    <w:rPr>
                                      <w:rFonts w:ascii="宋体" w:hAnsi="宋体" w:eastAsia="宋体" w:cs="宋体"/>
                                      <w:spacing w:val="-6"/>
                                      <w:sz w:val="24"/>
                                      <w:szCs w:val="24"/>
                                    </w:rPr>
                                    <w:t>水平。具体内容如下所述：</w:t>
                                  </w:r>
                                </w:p>
                                <w:p>
                                  <w:pPr>
                                    <w:spacing w:before="183" w:line="220" w:lineRule="auto"/>
                                    <w:ind w:left="20"/>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、生态环境影响分析</w:t>
                                  </w:r>
                                </w:p>
                                <w:p>
                                  <w:pPr>
                                    <w:spacing w:before="179" w:line="221" w:lineRule="auto"/>
                                    <w:ind w:left="20"/>
                                    <w:rPr>
                                      <w:rFonts w:ascii="宋体" w:hAnsi="宋体" w:eastAsia="宋体" w:cs="宋体"/>
                                      <w:sz w:val="24"/>
                                      <w:szCs w:val="24"/>
                                    </w:rPr>
                                  </w:pPr>
                                  <w:r>
                                    <w:rPr>
                                      <w:rFonts w:ascii="Times New Roman" w:hAnsi="Times New Roman" w:eastAsia="Times New Roman" w:cs="Times New Roman"/>
                                      <w:b/>
                                      <w:bCs/>
                                      <w:spacing w:val="-2"/>
                                      <w:sz w:val="24"/>
                                      <w:szCs w:val="24"/>
                                    </w:rPr>
                                    <w:t>2.1</w:t>
                                  </w:r>
                                  <w:r>
                                    <w:rPr>
                                      <w:rFonts w:ascii="宋体" w:hAnsi="宋体" w:eastAsia="宋体" w:cs="宋体"/>
                                      <w:b/>
                                      <w:bCs/>
                                      <w:spacing w:val="-2"/>
                                      <w:sz w:val="24"/>
                                      <w:szCs w:val="24"/>
                                    </w:rPr>
                                    <w:t>对土地利用的影响</w:t>
                                  </w:r>
                                </w:p>
                              </w:txbxContent>
                            </wps:txbx>
                            <wps:bodyPr lIns="0" tIns="0" rIns="0" bIns="0" upright="1"/>
                          </wps:wsp>
                        </a:graphicData>
                      </a:graphic>
                    </wp:anchor>
                  </w:drawing>
                </mc:Choice>
                <mc:Fallback>
                  <w:pict>
                    <v:shape id="_x0000_s1026" o:spid="_x0000_s1026" o:spt="202" type="#_x0000_t202" style="position:absolute;left:0pt;margin-left:70.4pt;margin-top:532.2pt;height:205.75pt;width:477.7pt;z-index:251661312;mso-width-relative:page;mso-height-relative:page;" filled="f" stroked="f" coordsize="21600,21600" o:gfxdata="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2jSW7aAAAADgEAAA8AAAAAAAAAAQAgAAAAIgAAAGRycy9kb3ducmV2LnhtbFBL&#10;AQIUABQAAAAIAIdO4kAtLtyquwEAAHUDAAAOAAAAAAAAAAEAIAAAACkBAABkcnMvZTJvRG9jLnht&#10;bFBLBQYAAAAABgAGAFkBAABWBQAAAAA=&#10;">
                      <v:fill on="f" focussize="0,0"/>
                      <v:stroke on="f"/>
                      <v:imagedata o:title=""/>
                      <o:lock v:ext="edit" aspectratio="f"/>
                      <v:textbox inset="0mm,0mm,0mm,0mm">
                        <w:txbxContent>
                          <w:p>
                            <w:pPr>
                              <w:spacing w:before="19" w:line="220" w:lineRule="auto"/>
                              <w:ind w:left="3053"/>
                              <w:rPr>
                                <w:rFonts w:ascii="宋体" w:hAnsi="宋体" w:eastAsia="宋体" w:cs="宋体"/>
                                <w:sz w:val="21"/>
                                <w:szCs w:val="21"/>
                              </w:rPr>
                            </w:pPr>
                            <w:r>
                              <w:rPr>
                                <w:rFonts w:ascii="宋体" w:hAnsi="宋体" w:eastAsia="宋体" w:cs="宋体"/>
                                <w:b/>
                                <w:bCs/>
                                <w:spacing w:val="-3"/>
                                <w:sz w:val="21"/>
                                <w:szCs w:val="21"/>
                              </w:rPr>
                              <w:t>图</w:t>
                            </w:r>
                            <w:r>
                              <w:rPr>
                                <w:rFonts w:ascii="Times New Roman" w:hAnsi="Times New Roman" w:eastAsia="Times New Roman" w:cs="Times New Roman"/>
                                <w:b/>
                                <w:bCs/>
                                <w:spacing w:val="-3"/>
                                <w:sz w:val="21"/>
                                <w:szCs w:val="21"/>
                              </w:rPr>
                              <w:t>4-1</w:t>
                            </w:r>
                            <w:r>
                              <w:rPr>
                                <w:rFonts w:ascii="宋体" w:hAnsi="宋体" w:eastAsia="宋体" w:cs="宋体"/>
                                <w:b/>
                                <w:bCs/>
                                <w:spacing w:val="-3"/>
                                <w:sz w:val="21"/>
                                <w:szCs w:val="21"/>
                              </w:rPr>
                              <w:t>本工程施工期产污环节示意图</w:t>
                            </w:r>
                          </w:p>
                          <w:p>
                            <w:pPr>
                              <w:spacing w:before="269" w:line="219" w:lineRule="auto"/>
                              <w:ind w:right="21"/>
                              <w:jc w:val="right"/>
                              <w:rPr>
                                <w:rFonts w:ascii="宋体" w:hAnsi="宋体" w:eastAsia="宋体" w:cs="宋体"/>
                                <w:sz w:val="24"/>
                                <w:szCs w:val="24"/>
                              </w:rPr>
                            </w:pPr>
                            <w:r>
                              <w:rPr>
                                <w:rFonts w:ascii="宋体" w:hAnsi="宋体" w:eastAsia="宋体" w:cs="宋体"/>
                                <w:spacing w:val="-3"/>
                                <w:sz w:val="24"/>
                                <w:szCs w:val="24"/>
                              </w:rPr>
                              <w:t>项目占用土地主要为耕地、林地、其他草地、交通用地，项目区植被种类较少，无珍稀</w:t>
                            </w:r>
                          </w:p>
                          <w:p>
                            <w:pPr>
                              <w:spacing w:before="180" w:line="220" w:lineRule="auto"/>
                              <w:ind w:left="26"/>
                              <w:rPr>
                                <w:rFonts w:ascii="宋体" w:hAnsi="宋体" w:eastAsia="宋体" w:cs="宋体"/>
                                <w:sz w:val="24"/>
                                <w:szCs w:val="24"/>
                              </w:rPr>
                            </w:pPr>
                            <w:r>
                              <w:rPr>
                                <w:rFonts w:ascii="宋体" w:hAnsi="宋体" w:eastAsia="宋体" w:cs="宋体"/>
                                <w:spacing w:val="-5"/>
                                <w:sz w:val="24"/>
                                <w:szCs w:val="24"/>
                              </w:rPr>
                              <w:t>或濒危动、植物，该项目所在区域生态环境质量较好。施工期对区域</w:t>
                            </w:r>
                            <w:r>
                              <w:rPr>
                                <w:rFonts w:ascii="宋体" w:hAnsi="宋体" w:eastAsia="宋体" w:cs="宋体"/>
                                <w:spacing w:val="-6"/>
                                <w:sz w:val="24"/>
                                <w:szCs w:val="24"/>
                              </w:rPr>
                              <w:t>生态环境的影响主要表</w:t>
                            </w:r>
                          </w:p>
                          <w:p>
                            <w:pPr>
                              <w:spacing w:before="182" w:line="219" w:lineRule="auto"/>
                              <w:ind w:left="25"/>
                              <w:rPr>
                                <w:rFonts w:ascii="宋体" w:hAnsi="宋体" w:eastAsia="宋体" w:cs="宋体"/>
                                <w:sz w:val="24"/>
                                <w:szCs w:val="24"/>
                              </w:rPr>
                            </w:pPr>
                            <w:r>
                              <w:rPr>
                                <w:rFonts w:ascii="宋体" w:hAnsi="宋体" w:eastAsia="宋体" w:cs="宋体"/>
                                <w:spacing w:val="-6"/>
                                <w:sz w:val="24"/>
                                <w:szCs w:val="24"/>
                              </w:rPr>
                              <w:t>现为：对土壤扰动后，地表植被破坏，造成水土流失。</w:t>
                            </w:r>
                            <w:r>
                              <w:rPr>
                                <w:rFonts w:ascii="宋体" w:hAnsi="宋体" w:eastAsia="宋体" w:cs="宋体"/>
                                <w:spacing w:val="-7"/>
                                <w:sz w:val="24"/>
                                <w:szCs w:val="24"/>
                              </w:rPr>
                              <w:t>随着施工人员、机械设备的进场，人</w:t>
                            </w:r>
                          </w:p>
                          <w:p>
                            <w:pPr>
                              <w:spacing w:before="181" w:line="219" w:lineRule="auto"/>
                              <w:ind w:left="32"/>
                              <w:rPr>
                                <w:rFonts w:ascii="宋体" w:hAnsi="宋体" w:eastAsia="宋体" w:cs="宋体"/>
                                <w:sz w:val="24"/>
                                <w:szCs w:val="24"/>
                              </w:rPr>
                            </w:pPr>
                            <w:r>
                              <w:rPr>
                                <w:rFonts w:ascii="宋体" w:hAnsi="宋体" w:eastAsia="宋体" w:cs="宋体"/>
                                <w:spacing w:val="-2"/>
                                <w:sz w:val="24"/>
                                <w:szCs w:val="24"/>
                              </w:rPr>
                              <w:t>员活动、机械噪声等活动将直接影响施工区域附近的陆生动物。</w:t>
                            </w:r>
                          </w:p>
                          <w:p>
                            <w:pPr>
                              <w:spacing w:before="183" w:line="220" w:lineRule="auto"/>
                              <w:ind w:right="22"/>
                              <w:jc w:val="right"/>
                              <w:rPr>
                                <w:rFonts w:ascii="宋体" w:hAnsi="宋体" w:eastAsia="宋体" w:cs="宋体"/>
                                <w:sz w:val="24"/>
                                <w:szCs w:val="24"/>
                              </w:rPr>
                            </w:pPr>
                            <w:r>
                              <w:rPr>
                                <w:rFonts w:ascii="宋体" w:hAnsi="宋体" w:eastAsia="宋体" w:cs="宋体"/>
                                <w:spacing w:val="-2"/>
                                <w:sz w:val="24"/>
                                <w:szCs w:val="24"/>
                              </w:rPr>
                              <w:t>但施工期对环境的影响是暂时性的，施工结束后</w:t>
                            </w:r>
                            <w:r>
                              <w:rPr>
                                <w:rFonts w:ascii="宋体" w:hAnsi="宋体" w:eastAsia="宋体" w:cs="宋体"/>
                                <w:spacing w:val="-3"/>
                                <w:sz w:val="24"/>
                                <w:szCs w:val="24"/>
                              </w:rPr>
                              <w:t>受影响的环境要素大多可以恢复到现状</w:t>
                            </w:r>
                          </w:p>
                          <w:p>
                            <w:pPr>
                              <w:spacing w:before="180" w:line="220" w:lineRule="auto"/>
                              <w:ind w:left="26"/>
                              <w:rPr>
                                <w:rFonts w:ascii="宋体" w:hAnsi="宋体" w:eastAsia="宋体" w:cs="宋体"/>
                                <w:sz w:val="24"/>
                                <w:szCs w:val="24"/>
                              </w:rPr>
                            </w:pPr>
                            <w:r>
                              <w:rPr>
                                <w:rFonts w:ascii="宋体" w:hAnsi="宋体" w:eastAsia="宋体" w:cs="宋体"/>
                                <w:spacing w:val="-6"/>
                                <w:sz w:val="24"/>
                                <w:szCs w:val="24"/>
                              </w:rPr>
                              <w:t>水平。具体内容如下所述：</w:t>
                            </w:r>
                          </w:p>
                          <w:p>
                            <w:pPr>
                              <w:spacing w:before="183" w:line="220" w:lineRule="auto"/>
                              <w:ind w:left="20"/>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、生态环境影响分析</w:t>
                            </w:r>
                          </w:p>
                          <w:p>
                            <w:pPr>
                              <w:spacing w:before="179" w:line="221" w:lineRule="auto"/>
                              <w:ind w:left="20"/>
                              <w:rPr>
                                <w:rFonts w:ascii="宋体" w:hAnsi="宋体" w:eastAsia="宋体" w:cs="宋体"/>
                                <w:sz w:val="24"/>
                                <w:szCs w:val="24"/>
                              </w:rPr>
                            </w:pPr>
                            <w:r>
                              <w:rPr>
                                <w:rFonts w:ascii="Times New Roman" w:hAnsi="Times New Roman" w:eastAsia="Times New Roman" w:cs="Times New Roman"/>
                                <w:b/>
                                <w:bCs/>
                                <w:spacing w:val="-2"/>
                                <w:sz w:val="24"/>
                                <w:szCs w:val="24"/>
                              </w:rPr>
                              <w:t>2.1</w:t>
                            </w:r>
                            <w:r>
                              <w:rPr>
                                <w:rFonts w:ascii="宋体" w:hAnsi="宋体" w:eastAsia="宋体" w:cs="宋体"/>
                                <w:b/>
                                <w:bCs/>
                                <w:spacing w:val="-2"/>
                                <w:sz w:val="24"/>
                                <w:szCs w:val="24"/>
                              </w:rPr>
                              <w:t>对土地利用的影响</w:t>
                            </w:r>
                          </w:p>
                        </w:txbxContent>
                      </v:textbox>
                    </v:shape>
                  </w:pict>
                </mc:Fallback>
              </mc:AlternateConten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1、生态环境影响分析</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1.1土地利用</w:t>
            </w:r>
          </w:p>
          <w:p>
            <w:pPr>
              <w:pStyle w:val="54"/>
              <w:spacing w:line="360" w:lineRule="auto"/>
              <w:ind w:firstLine="480"/>
              <w:jc w:val="both"/>
              <w:rPr>
                <w:rFonts w:hint="default" w:ascii="Times New Roman" w:hAnsi="Times New Roman" w:eastAsia="仿宋" w:cs="Times New Roman"/>
                <w:color w:val="auto"/>
                <w:szCs w:val="24"/>
                <w:lang w:val="en-US"/>
              </w:rPr>
            </w:pPr>
            <w:r>
              <w:rPr>
                <w:rFonts w:hint="default" w:ascii="Times New Roman" w:hAnsi="Times New Roman" w:eastAsia="仿宋" w:cs="Times New Roman"/>
                <w:color w:val="auto"/>
                <w:szCs w:val="24"/>
                <w:lang w:val="en-US"/>
              </w:rPr>
              <w:t>根据总体规划布置要求，工程总占地</w:t>
            </w:r>
            <w:r>
              <w:rPr>
                <w:rFonts w:hint="eastAsia" w:eastAsia="仿宋" w:cs="Times New Roman"/>
                <w:color w:val="auto"/>
                <w:szCs w:val="24"/>
                <w:lang w:val="en-US" w:eastAsia="zh-CN"/>
              </w:rPr>
              <w:t>12.4254</w:t>
            </w:r>
            <w:r>
              <w:rPr>
                <w:rFonts w:hint="default" w:ascii="Times New Roman" w:hAnsi="Times New Roman" w:eastAsia="仿宋" w:cs="Times New Roman"/>
                <w:color w:val="auto"/>
                <w:szCs w:val="24"/>
                <w:lang w:val="en-US"/>
              </w:rPr>
              <w:t>hm</w:t>
            </w:r>
            <w:r>
              <w:rPr>
                <w:rFonts w:hint="default" w:ascii="Times New Roman" w:hAnsi="Times New Roman" w:eastAsia="仿宋" w:cs="Times New Roman"/>
                <w:color w:val="auto"/>
                <w:szCs w:val="24"/>
                <w:vertAlign w:val="superscript"/>
                <w:lang w:val="en-US"/>
              </w:rPr>
              <w:t>2</w:t>
            </w:r>
            <w:r>
              <w:rPr>
                <w:rFonts w:hint="default" w:ascii="Times New Roman" w:hAnsi="Times New Roman" w:eastAsia="仿宋" w:cs="Times New Roman"/>
                <w:color w:val="auto"/>
                <w:szCs w:val="24"/>
                <w:lang w:val="en-US"/>
              </w:rPr>
              <w:t>，其中永久占地面积为</w:t>
            </w:r>
            <w:r>
              <w:rPr>
                <w:rFonts w:hint="eastAsia" w:eastAsia="仿宋" w:cs="Times New Roman"/>
                <w:color w:val="auto"/>
                <w:szCs w:val="24"/>
                <w:lang w:val="en-US" w:eastAsia="zh-CN"/>
              </w:rPr>
              <w:t>0.6554</w:t>
            </w:r>
            <w:r>
              <w:rPr>
                <w:rFonts w:hint="default" w:ascii="Times New Roman" w:hAnsi="Times New Roman" w:eastAsia="仿宋" w:cs="Times New Roman"/>
                <w:color w:val="auto"/>
                <w:szCs w:val="24"/>
                <w:lang w:val="en-US"/>
              </w:rPr>
              <w:t>hm</w:t>
            </w:r>
            <w:r>
              <w:rPr>
                <w:rFonts w:hint="default" w:ascii="Times New Roman" w:hAnsi="Times New Roman" w:eastAsia="仿宋" w:cs="Times New Roman"/>
                <w:color w:val="auto"/>
                <w:szCs w:val="24"/>
                <w:vertAlign w:val="superscript"/>
                <w:lang w:val="en-US"/>
              </w:rPr>
              <w:t>2</w:t>
            </w:r>
            <w:r>
              <w:rPr>
                <w:rFonts w:hint="default" w:ascii="Times New Roman" w:hAnsi="Times New Roman" w:eastAsia="仿宋" w:cs="Times New Roman"/>
                <w:color w:val="auto"/>
                <w:szCs w:val="24"/>
                <w:lang w:val="en-US"/>
              </w:rPr>
              <w:t>，临时占地面积</w:t>
            </w:r>
            <w:r>
              <w:rPr>
                <w:rFonts w:hint="eastAsia" w:eastAsia="仿宋" w:cs="Times New Roman"/>
                <w:color w:val="auto"/>
                <w:szCs w:val="24"/>
                <w:lang w:val="en-US" w:eastAsia="zh-CN"/>
              </w:rPr>
              <w:t>11.77</w:t>
            </w:r>
            <w:r>
              <w:rPr>
                <w:rFonts w:hint="default" w:ascii="Times New Roman" w:hAnsi="Times New Roman" w:eastAsia="仿宋" w:cs="Times New Roman"/>
                <w:color w:val="auto"/>
                <w:szCs w:val="24"/>
                <w:lang w:val="en-US"/>
              </w:rPr>
              <w:t>hm</w:t>
            </w:r>
            <w:r>
              <w:rPr>
                <w:rFonts w:hint="default" w:ascii="Times New Roman" w:hAnsi="Times New Roman" w:eastAsia="仿宋" w:cs="Times New Roman"/>
                <w:color w:val="auto"/>
                <w:szCs w:val="24"/>
                <w:vertAlign w:val="superscript"/>
                <w:lang w:val="en-US"/>
              </w:rPr>
              <w:t>2</w:t>
            </w:r>
            <w:r>
              <w:rPr>
                <w:rFonts w:hint="default" w:ascii="Times New Roman" w:hAnsi="Times New Roman" w:eastAsia="仿宋" w:cs="Times New Roman"/>
                <w:color w:val="auto"/>
                <w:szCs w:val="24"/>
                <w:lang w:val="en-US"/>
              </w:rPr>
              <w:t>。本工程占地类型情况详见表4-1。</w:t>
            </w:r>
          </w:p>
          <w:p>
            <w:pPr>
              <w:pStyle w:val="5"/>
              <w:ind w:firstLine="422"/>
              <w:jc w:val="center"/>
              <w:rPr>
                <w:rFonts w:hint="default" w:ascii="Times New Roman" w:hAnsi="Times New Roman" w:eastAsia="仿宋" w:cs="Times New Roman"/>
                <w:b/>
                <w:color w:val="auto"/>
                <w:sz w:val="21"/>
                <w:szCs w:val="21"/>
                <w:vertAlign w:val="superscript"/>
              </w:rPr>
            </w:pPr>
            <w:r>
              <w:rPr>
                <w:rFonts w:hint="default" w:ascii="Times New Roman" w:hAnsi="Times New Roman" w:eastAsia="仿宋" w:cs="Times New Roman"/>
                <w:b/>
                <w:color w:val="auto"/>
                <w:sz w:val="21"/>
                <w:szCs w:val="21"/>
              </w:rPr>
              <w:t>表4-1 工程占地类型情况表      单位：hm</w:t>
            </w:r>
            <w:r>
              <w:rPr>
                <w:rFonts w:hint="default" w:ascii="Times New Roman" w:hAnsi="Times New Roman" w:eastAsia="仿宋" w:cs="Times New Roman"/>
                <w:b/>
                <w:color w:val="auto"/>
                <w:sz w:val="21"/>
                <w:szCs w:val="21"/>
                <w:vertAlign w:val="superscript"/>
              </w:rPr>
              <w:t>2</w:t>
            </w:r>
          </w:p>
          <w:tbl>
            <w:tblPr>
              <w:tblStyle w:val="83"/>
              <w:tblW w:w="4998" w:type="pct"/>
              <w:tblInd w:w="0"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613"/>
              <w:gridCol w:w="1488"/>
              <w:gridCol w:w="1515"/>
              <w:gridCol w:w="1750"/>
              <w:gridCol w:w="1408"/>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489" w:type="pct"/>
                  <w:vMerge w:val="restart"/>
                  <w:tcBorders>
                    <w:bottom w:val="nil"/>
                  </w:tcBorders>
                  <w:vAlign w:val="center"/>
                </w:tcPr>
                <w:p>
                  <w:pPr>
                    <w:pStyle w:val="82"/>
                    <w:spacing w:before="238" w:line="221" w:lineRule="auto"/>
                    <w:ind w:left="847"/>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3"/>
                    </w:rPr>
                    <w:t>项目</w:t>
                  </w:r>
                </w:p>
              </w:tc>
              <w:tc>
                <w:tcPr>
                  <w:tcW w:w="1711" w:type="pct"/>
                  <w:gridSpan w:val="2"/>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10"/>
                    </w:rPr>
                    <w:t>占地性质</w:t>
                  </w:r>
                </w:p>
              </w:tc>
              <w:tc>
                <w:tcPr>
                  <w:tcW w:w="997" w:type="pct"/>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10"/>
                    </w:rPr>
                    <w:t>占地类型</w:t>
                  </w:r>
                </w:p>
              </w:tc>
              <w:tc>
                <w:tcPr>
                  <w:tcW w:w="802" w:type="pct"/>
                  <w:vMerge w:val="restart"/>
                  <w:tcBorders>
                    <w:bottom w:val="nil"/>
                  </w:tcBorders>
                  <w:vAlign w:val="center"/>
                </w:tcPr>
                <w:p>
                  <w:pPr>
                    <w:spacing w:before="114" w:line="187" w:lineRule="auto"/>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spacing w:val="-2"/>
                    </w:rPr>
                    <w:t>合计</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Merge w:val="continue"/>
                  <w:tcBorders>
                    <w:top w:val="nil"/>
                  </w:tcBorders>
                  <w:vAlign w:val="center"/>
                </w:tcPr>
                <w:p>
                  <w:pPr>
                    <w:rPr>
                      <w:rFonts w:hint="default" w:ascii="Times New Roman" w:hAnsi="Times New Roman" w:eastAsia="仿宋" w:cs="Times New Roman"/>
                      <w:b/>
                      <w:bCs/>
                      <w:color w:val="auto"/>
                      <w:sz w:val="21"/>
                    </w:rPr>
                  </w:pPr>
                </w:p>
              </w:tc>
              <w:tc>
                <w:tcPr>
                  <w:tcW w:w="848" w:type="pct"/>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2"/>
                    </w:rPr>
                    <w:t>永久占地</w:t>
                  </w:r>
                </w:p>
              </w:tc>
              <w:tc>
                <w:tcPr>
                  <w:tcW w:w="863" w:type="pct"/>
                  <w:vAlign w:val="center"/>
                </w:tcPr>
                <w:p>
                  <w:pPr>
                    <w:spacing w:before="114" w:line="187" w:lineRule="auto"/>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spacing w:val="-1"/>
                      <w:sz w:val="21"/>
                      <w:szCs w:val="21"/>
                      <w:lang w:val="en-US" w:eastAsia="zh-CN"/>
                    </w:rPr>
                    <w:t>临时</w:t>
                  </w:r>
                  <w:r>
                    <w:rPr>
                      <w:rFonts w:hint="default" w:ascii="Times New Roman" w:hAnsi="Times New Roman" w:eastAsia="仿宋" w:cs="Times New Roman"/>
                      <w:b/>
                      <w:bCs/>
                      <w:color w:val="auto"/>
                      <w:spacing w:val="-5"/>
                    </w:rPr>
                    <w:t>占地</w:t>
                  </w:r>
                </w:p>
              </w:tc>
              <w:tc>
                <w:tcPr>
                  <w:tcW w:w="997" w:type="pct"/>
                  <w:vAlign w:val="center"/>
                </w:tcPr>
                <w:p>
                  <w:pPr>
                    <w:spacing w:before="114" w:line="187" w:lineRule="auto"/>
                    <w:jc w:val="center"/>
                    <w:rPr>
                      <w:rFonts w:hint="eastAsia" w:ascii="Times New Roman" w:hAnsi="Times New Roman" w:eastAsia="仿宋" w:cs="Times New Roman"/>
                      <w:b/>
                      <w:bCs/>
                      <w:color w:val="auto"/>
                      <w:lang w:eastAsia="zh-CN"/>
                    </w:rPr>
                  </w:pPr>
                  <w:r>
                    <w:rPr>
                      <w:rFonts w:hint="eastAsia" w:eastAsia="仿宋" w:cs="Times New Roman"/>
                      <w:b/>
                      <w:bCs/>
                      <w:color w:val="auto"/>
                      <w:spacing w:val="-2"/>
                      <w:lang w:val="en-US" w:eastAsia="zh-CN"/>
                    </w:rPr>
                    <w:t>林地</w:t>
                  </w:r>
                </w:p>
              </w:tc>
              <w:tc>
                <w:tcPr>
                  <w:tcW w:w="802" w:type="pct"/>
                  <w:vMerge w:val="continue"/>
                  <w:tcBorders>
                    <w:top w:val="nil"/>
                  </w:tcBorders>
                  <w:vAlign w:val="center"/>
                </w:tcPr>
                <w:p>
                  <w:pPr>
                    <w:rPr>
                      <w:rFonts w:hint="default" w:ascii="Times New Roman" w:hAnsi="Times New Roman" w:eastAsia="仿宋"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风机及箱变区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0.1328</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2.4</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2.5328</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2.5328</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升压站区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0.5226</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ascii="Times New Roman" w:hAnsi="Times New Roman" w:eastAsia="仿宋" w:cs="Times New Roman"/>
                      <w:color w:val="auto"/>
                      <w:spacing w:val="-1"/>
                      <w:sz w:val="21"/>
                      <w:szCs w:val="21"/>
                      <w:lang w:val="en-US" w:eastAsia="zh-CN"/>
                    </w:rPr>
                    <w:t>0</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0.5226</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0.5226</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道路工程区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3.19</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3.19</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3.19</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集电线路区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2.53</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2.53</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2.53</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施工生产生活区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0.8</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0.8</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89" w:type="pct"/>
                  <w:vAlign w:val="center"/>
                </w:tcPr>
                <w:p>
                  <w:pPr>
                    <w:spacing w:before="114" w:line="187" w:lineRule="auto"/>
                    <w:jc w:val="center"/>
                    <w:rPr>
                      <w:rFonts w:hint="default"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弃渣场</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w:t>
                  </w:r>
                </w:p>
              </w:tc>
              <w:tc>
                <w:tcPr>
                  <w:tcW w:w="863" w:type="pct"/>
                  <w:vAlign w:val="center"/>
                </w:tcPr>
                <w:p>
                  <w:pPr>
                    <w:spacing w:before="114" w:line="240" w:lineRule="auto"/>
                    <w:jc w:val="center"/>
                    <w:rPr>
                      <w:rFonts w:hint="default"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2.85</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2.85</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2.85</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489" w:type="pct"/>
                  <w:vAlign w:val="center"/>
                </w:tcPr>
                <w:p>
                  <w:pPr>
                    <w:spacing w:before="114" w:line="187" w:lineRule="auto"/>
                    <w:jc w:val="center"/>
                    <w:rPr>
                      <w:rFonts w:hint="default" w:ascii="Times New Roman" w:hAnsi="Times New Roman" w:eastAsia="仿宋" w:cs="Times New Roman"/>
                      <w:color w:val="auto"/>
                      <w:spacing w:val="-1"/>
                      <w:sz w:val="21"/>
                      <w:szCs w:val="21"/>
                      <w:lang w:val="en-US" w:eastAsia="zh-CN"/>
                    </w:rPr>
                  </w:pPr>
                  <w:r>
                    <w:rPr>
                      <w:rFonts w:hint="default" w:ascii="Times New Roman" w:hAnsi="Times New Roman" w:eastAsia="仿宋" w:cs="Times New Roman"/>
                      <w:color w:val="auto"/>
                      <w:spacing w:val="-1"/>
                      <w:sz w:val="21"/>
                      <w:szCs w:val="21"/>
                      <w:lang w:val="en-US" w:eastAsia="zh-CN"/>
                    </w:rPr>
                    <w:t>合计</w:t>
                  </w:r>
                </w:p>
              </w:tc>
              <w:tc>
                <w:tcPr>
                  <w:tcW w:w="848"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0.6554</w:t>
                  </w:r>
                </w:p>
              </w:tc>
              <w:tc>
                <w:tcPr>
                  <w:tcW w:w="863"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11.77</w:t>
                  </w:r>
                </w:p>
              </w:tc>
              <w:tc>
                <w:tcPr>
                  <w:tcW w:w="997" w:type="pct"/>
                  <w:vAlign w:val="center"/>
                </w:tcPr>
                <w:p>
                  <w:pPr>
                    <w:spacing w:before="114" w:line="240" w:lineRule="auto"/>
                    <w:jc w:val="center"/>
                    <w:rPr>
                      <w:rFonts w:hint="default" w:ascii="Times New Roman" w:hAnsi="Times New Roman" w:eastAsia="仿宋" w:cs="Times New Roman"/>
                      <w:color w:val="auto"/>
                      <w:spacing w:val="-1"/>
                      <w:sz w:val="21"/>
                      <w:szCs w:val="21"/>
                      <w:lang w:val="en-US" w:eastAsia="zh-CN"/>
                    </w:rPr>
                  </w:pPr>
                  <w:r>
                    <w:rPr>
                      <w:rFonts w:hint="eastAsia" w:eastAsia="仿宋" w:cs="Times New Roman"/>
                      <w:color w:val="auto"/>
                      <w:spacing w:val="-1"/>
                      <w:sz w:val="21"/>
                      <w:szCs w:val="21"/>
                      <w:lang w:val="en-US" w:eastAsia="zh-CN"/>
                    </w:rPr>
                    <w:t>12.4254</w:t>
                  </w:r>
                </w:p>
              </w:tc>
              <w:tc>
                <w:tcPr>
                  <w:tcW w:w="802" w:type="pct"/>
                  <w:shd w:val="clear" w:color="auto" w:fill="auto"/>
                  <w:vAlign w:val="center"/>
                </w:tcPr>
                <w:p>
                  <w:pPr>
                    <w:spacing w:before="114" w:line="240" w:lineRule="auto"/>
                    <w:jc w:val="center"/>
                    <w:rPr>
                      <w:rFonts w:hint="default" w:ascii="Times New Roman" w:hAnsi="Times New Roman" w:eastAsia="仿宋" w:cs="Times New Roman"/>
                      <w:color w:val="auto"/>
                      <w:spacing w:val="-1"/>
                      <w:kern w:val="2"/>
                      <w:sz w:val="21"/>
                      <w:szCs w:val="21"/>
                      <w:lang w:val="en-US" w:eastAsia="zh-CN" w:bidi="ar-SA"/>
                    </w:rPr>
                  </w:pPr>
                  <w:r>
                    <w:rPr>
                      <w:rFonts w:hint="eastAsia" w:eastAsia="仿宋" w:cs="Times New Roman"/>
                      <w:color w:val="auto"/>
                      <w:spacing w:val="-1"/>
                      <w:sz w:val="21"/>
                      <w:szCs w:val="21"/>
                      <w:lang w:val="en-US" w:eastAsia="zh-CN"/>
                    </w:rPr>
                    <w:t>12.4254</w:t>
                  </w:r>
                </w:p>
              </w:tc>
            </w:tr>
          </w:tbl>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1.2生态系统的影响预测与评价</w:t>
            </w:r>
          </w:p>
          <w:p>
            <w:pPr>
              <w:spacing w:after="48" w:afterLines="20"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工程临时占地在施工结束后进行绿化恢复基本可以使区域恢复至现有生态现状；而工程永久占地所占比例较小，因此工程对</w:t>
            </w:r>
            <w:r>
              <w:rPr>
                <w:rFonts w:hint="eastAsia" w:eastAsia="仿宋" w:cs="Times New Roman"/>
                <w:color w:val="auto"/>
                <w:sz w:val="24"/>
                <w:lang w:val="en-US" w:eastAsia="zh-CN"/>
              </w:rPr>
              <w:t>森林生态系统</w:t>
            </w:r>
            <w:r>
              <w:rPr>
                <w:rFonts w:hint="default" w:ascii="Times New Roman" w:hAnsi="Times New Roman" w:eastAsia="仿宋" w:cs="Times New Roman"/>
                <w:color w:val="auto"/>
                <w:sz w:val="24"/>
              </w:rPr>
              <w:t>有一定影响，但影响较小。</w:t>
            </w:r>
          </w:p>
          <w:p>
            <w:pPr>
              <w:spacing w:line="360" w:lineRule="auto"/>
              <w:ind w:firstLine="48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工程对</w:t>
            </w:r>
            <w:r>
              <w:rPr>
                <w:rFonts w:hint="eastAsia" w:eastAsia="仿宋" w:cs="Times New Roman"/>
                <w:color w:val="auto"/>
                <w:sz w:val="24"/>
                <w:lang w:val="en-US" w:eastAsia="zh-CN"/>
              </w:rPr>
              <w:t>森林</w:t>
            </w:r>
            <w:r>
              <w:rPr>
                <w:rFonts w:hint="default" w:ascii="Times New Roman" w:hAnsi="Times New Roman" w:eastAsia="仿宋" w:cs="Times New Roman"/>
                <w:color w:val="auto"/>
                <w:sz w:val="24"/>
              </w:rPr>
              <w:t>生态系统影响主要为</w:t>
            </w:r>
            <w:r>
              <w:rPr>
                <w:rFonts w:hint="default" w:ascii="Times New Roman" w:hAnsi="Times New Roman" w:eastAsia="仿宋" w:cs="Times New Roman"/>
                <w:color w:val="auto"/>
                <w:sz w:val="24"/>
                <w:lang w:val="en-US"/>
              </w:rPr>
              <w:t>临时</w:t>
            </w:r>
            <w:r>
              <w:rPr>
                <w:rFonts w:hint="default" w:ascii="Times New Roman" w:hAnsi="Times New Roman" w:eastAsia="仿宋" w:cs="Times New Roman"/>
                <w:color w:val="auto"/>
                <w:sz w:val="24"/>
              </w:rPr>
              <w:t>占地对植被的影响，根据现场踏勘结合遥感图片解译，评价区内</w:t>
            </w:r>
            <w:r>
              <w:rPr>
                <w:rFonts w:hint="eastAsia" w:eastAsia="仿宋" w:cs="Times New Roman"/>
                <w:color w:val="auto"/>
                <w:sz w:val="24"/>
                <w:lang w:val="en-US" w:eastAsia="zh-CN"/>
              </w:rPr>
              <w:t>森林</w:t>
            </w:r>
            <w:r>
              <w:rPr>
                <w:rFonts w:hint="default" w:ascii="Times New Roman" w:hAnsi="Times New Roman" w:eastAsia="仿宋" w:cs="Times New Roman"/>
                <w:color w:val="auto"/>
                <w:sz w:val="24"/>
              </w:rPr>
              <w:t>生态系统面积为</w:t>
            </w:r>
            <w:r>
              <w:rPr>
                <w:rFonts w:hint="eastAsia" w:eastAsia="仿宋" w:cs="Times New Roman"/>
                <w:color w:val="auto"/>
                <w:sz w:val="24"/>
                <w:lang w:val="en-US" w:eastAsia="zh-CN"/>
              </w:rPr>
              <w:t>12.4254</w:t>
            </w:r>
            <w:r>
              <w:rPr>
                <w:rFonts w:hint="default" w:ascii="Times New Roman" w:hAnsi="Times New Roman" w:eastAsia="仿宋" w:cs="Times New Roman"/>
                <w:color w:val="auto"/>
                <w:sz w:val="24"/>
              </w:rPr>
              <w:t>hm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。由于</w:t>
            </w:r>
            <w:r>
              <w:rPr>
                <w:rFonts w:hint="default" w:ascii="Times New Roman" w:hAnsi="Times New Roman" w:eastAsia="仿宋" w:cs="Times New Roman"/>
                <w:color w:val="auto"/>
                <w:sz w:val="24"/>
                <w:lang w:val="en-US" w:eastAsia="zh-CN"/>
              </w:rPr>
              <w:t>工程占地</w:t>
            </w:r>
            <w:r>
              <w:rPr>
                <w:rFonts w:hint="default" w:ascii="Times New Roman" w:hAnsi="Times New Roman" w:eastAsia="仿宋" w:cs="Times New Roman"/>
                <w:color w:val="auto"/>
                <w:sz w:val="24"/>
              </w:rPr>
              <w:t>占用的</w:t>
            </w:r>
            <w:r>
              <w:rPr>
                <w:rFonts w:hint="eastAsia" w:eastAsia="仿宋" w:cs="Times New Roman"/>
                <w:color w:val="auto"/>
                <w:sz w:val="24"/>
                <w:lang w:val="en-US" w:eastAsia="zh-CN"/>
              </w:rPr>
              <w:t>森林</w:t>
            </w:r>
            <w:r>
              <w:rPr>
                <w:rFonts w:hint="default" w:ascii="Times New Roman" w:hAnsi="Times New Roman" w:eastAsia="仿宋" w:cs="Times New Roman"/>
                <w:color w:val="auto"/>
                <w:sz w:val="24"/>
              </w:rPr>
              <w:t>生态系统面积较小，且</w:t>
            </w:r>
            <w:r>
              <w:rPr>
                <w:rFonts w:hint="eastAsia" w:eastAsia="仿宋" w:cs="Times New Roman"/>
                <w:color w:val="auto"/>
                <w:sz w:val="24"/>
                <w:lang w:val="en-US" w:eastAsia="zh-CN"/>
              </w:rPr>
              <w:t>施工结束后采取措施对植被进行恢复</w:t>
            </w:r>
            <w:r>
              <w:rPr>
                <w:rFonts w:hint="default" w:ascii="Times New Roman" w:hAnsi="Times New Roman" w:eastAsia="仿宋" w:cs="Times New Roman"/>
                <w:color w:val="auto"/>
                <w:sz w:val="24"/>
              </w:rPr>
              <w:t>。因此，工程对</w:t>
            </w:r>
            <w:r>
              <w:rPr>
                <w:rFonts w:hint="eastAsia" w:eastAsia="仿宋" w:cs="Times New Roman"/>
                <w:color w:val="auto"/>
                <w:sz w:val="24"/>
                <w:lang w:val="en-US" w:eastAsia="zh-CN"/>
              </w:rPr>
              <w:t>森林</w:t>
            </w:r>
            <w:r>
              <w:rPr>
                <w:rFonts w:hint="default" w:ascii="Times New Roman" w:hAnsi="Times New Roman" w:eastAsia="仿宋" w:cs="Times New Roman"/>
                <w:color w:val="auto"/>
                <w:sz w:val="24"/>
              </w:rPr>
              <w:t>生态系统的影响较小。</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1.3对陆生植物的影响</w:t>
            </w:r>
          </w:p>
          <w:p>
            <w:pPr>
              <w:spacing w:line="360" w:lineRule="auto"/>
              <w:ind w:firstLine="482"/>
              <w:rPr>
                <w:rFonts w:hint="default" w:ascii="Times New Roman" w:hAnsi="Times New Roman" w:eastAsia="仿宋" w:cs="Times New Roman"/>
                <w:snapToGrid w:val="0"/>
                <w:color w:val="auto"/>
                <w:kern w:val="0"/>
                <w:sz w:val="24"/>
              </w:rPr>
            </w:pPr>
            <w:r>
              <w:rPr>
                <w:rFonts w:hint="default" w:ascii="Times New Roman" w:hAnsi="Times New Roman" w:eastAsia="仿宋" w:cs="Times New Roman"/>
                <w:color w:val="auto"/>
                <w:sz w:val="24"/>
              </w:rPr>
              <w:t>本工程施工期主要有土石方工程施工等活动，施工期工程对项目区植物及植被的影响因子主要有工程占地、施工活动</w:t>
            </w:r>
            <w:r>
              <w:rPr>
                <w:rFonts w:hint="default" w:ascii="Times New Roman" w:hAnsi="Times New Roman" w:eastAsia="仿宋" w:cs="Times New Roman"/>
                <w:snapToGrid w:val="0"/>
                <w:color w:val="auto"/>
                <w:kern w:val="0"/>
                <w:sz w:val="24"/>
              </w:rPr>
              <w:t>及施工活动产生的废水、废气、弃渣、固废、扬尘等。</w:t>
            </w:r>
          </w:p>
          <w:p>
            <w:pPr>
              <w:spacing w:line="360" w:lineRule="auto"/>
              <w:ind w:firstLine="48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（1）施工占地对植物及植被的影响</w:t>
            </w:r>
          </w:p>
          <w:p>
            <w:pPr>
              <w:pStyle w:val="61"/>
              <w:rPr>
                <w:rFonts w:hint="default" w:ascii="Times New Roman" w:hAnsi="Times New Roman" w:eastAsia="仿宋" w:cs="Times New Roman"/>
                <w:color w:val="auto"/>
              </w:rPr>
            </w:pPr>
            <w:r>
              <w:rPr>
                <w:rFonts w:hint="default" w:ascii="Times New Roman" w:hAnsi="Times New Roman" w:eastAsia="仿宋" w:cs="Times New Roman"/>
                <w:color w:val="auto"/>
              </w:rPr>
              <w:t>a、永久占地的影响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bidi="en-US"/>
              </w:rPr>
              <w:t>工程永久占地会使占地区域土地利用类型发生改变，生物个体失去生长环境，影响的程度是不可逆的；且永久占地将破坏区域植被，使其失去原有的自然性和生物生产力，降低景观的质量与稳定性。本项目永久占地</w:t>
            </w:r>
            <w:r>
              <w:rPr>
                <w:rFonts w:hint="eastAsia" w:eastAsia="仿宋" w:cs="Times New Roman"/>
                <w:color w:val="auto"/>
                <w:sz w:val="24"/>
                <w:lang w:eastAsia="zh-CN"/>
              </w:rPr>
              <w:t>0.6554</w:t>
            </w:r>
            <w:r>
              <w:rPr>
                <w:rFonts w:hint="default" w:ascii="Times New Roman" w:hAnsi="Times New Roman" w:eastAsia="仿宋" w:cs="Times New Roman"/>
                <w:color w:val="auto"/>
                <w:sz w:val="24"/>
              </w:rPr>
              <w:t>hm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bidi="en-US"/>
              </w:rPr>
              <w:t>主要为风机基础、箱变基础、升压站占地。根据现场实地调查情况，工程永久占地的植被类型以</w:t>
            </w:r>
            <w:r>
              <w:rPr>
                <w:rFonts w:hint="eastAsia" w:eastAsia="仿宋" w:cs="Times New Roman"/>
                <w:color w:val="auto"/>
                <w:sz w:val="24"/>
                <w:lang w:val="en-US" w:eastAsia="zh-CN" w:bidi="en-US"/>
              </w:rPr>
              <w:t>乔木</w:t>
            </w:r>
            <w:r>
              <w:rPr>
                <w:rFonts w:hint="default" w:ascii="Times New Roman" w:hAnsi="Times New Roman" w:eastAsia="仿宋" w:cs="Times New Roman"/>
                <w:color w:val="auto"/>
                <w:sz w:val="24"/>
                <w:lang w:bidi="en-US"/>
              </w:rPr>
              <w:t>为主，典型群系有</w:t>
            </w:r>
            <w:r>
              <w:rPr>
                <w:rFonts w:hint="eastAsia" w:eastAsia="仿宋" w:cs="Times New Roman"/>
                <w:color w:val="auto"/>
                <w:sz w:val="24"/>
                <w:lang w:val="en-US" w:eastAsia="zh-CN" w:bidi="en-US"/>
              </w:rPr>
              <w:t>针叶、阔叶林</w:t>
            </w:r>
            <w:r>
              <w:rPr>
                <w:rFonts w:hint="default" w:ascii="Times New Roman" w:hAnsi="Times New Roman" w:eastAsia="仿宋" w:cs="Times New Roman"/>
                <w:color w:val="auto"/>
                <w:sz w:val="24"/>
              </w:rPr>
              <w:t>等。由于工程永久占地面积较小且分散，受工程永久占地影响的植物均为常见种，因此，本工程永久占地对项目区内植物及植被影响较小，仅为个体损失、植被生物量减少，且施工结束后，工程区植被恢复措施会在一定程度上缓解其影响。</w:t>
            </w:r>
          </w:p>
          <w:p>
            <w:pPr>
              <w:pStyle w:val="61"/>
              <w:rPr>
                <w:rFonts w:hint="default" w:ascii="Times New Roman" w:hAnsi="Times New Roman" w:eastAsia="仿宋" w:cs="Times New Roman"/>
                <w:color w:val="auto"/>
              </w:rPr>
            </w:pPr>
            <w:r>
              <w:rPr>
                <w:rFonts w:hint="default" w:ascii="Times New Roman" w:hAnsi="Times New Roman" w:eastAsia="仿宋" w:cs="Times New Roman"/>
                <w:color w:val="auto"/>
              </w:rPr>
              <w:t>b、临时占地的影响</w:t>
            </w:r>
          </w:p>
          <w:p>
            <w:pPr>
              <w:autoSpaceDE w:val="0"/>
              <w:autoSpaceDN w:val="0"/>
              <w:adjustRightIn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bidi="en-US"/>
              </w:rPr>
              <w:t>工程临时占地主要包括场内施工道路、风机安装场地、临时施工用地等临时占地，临时施工占地</w:t>
            </w:r>
            <w:r>
              <w:rPr>
                <w:rFonts w:hint="eastAsia" w:eastAsia="仿宋" w:cs="Times New Roman"/>
                <w:color w:val="auto"/>
                <w:sz w:val="24"/>
                <w:lang w:val="en-US" w:eastAsia="zh-CN"/>
              </w:rPr>
              <w:t>11.77</w:t>
            </w:r>
            <w:r>
              <w:rPr>
                <w:rFonts w:hint="default" w:ascii="Times New Roman" w:hAnsi="Times New Roman" w:eastAsia="仿宋" w:cs="Times New Roman"/>
                <w:color w:val="auto"/>
                <w:sz w:val="24"/>
                <w:lang w:bidi="en-US"/>
              </w:rPr>
              <w:t>hm</w:t>
            </w:r>
            <w:r>
              <w:rPr>
                <w:rFonts w:hint="default" w:ascii="Times New Roman" w:hAnsi="Times New Roman" w:eastAsia="仿宋" w:cs="Times New Roman"/>
                <w:color w:val="auto"/>
                <w:sz w:val="24"/>
                <w:vertAlign w:val="superscript"/>
                <w:lang w:bidi="en-US"/>
              </w:rPr>
              <w:t>2</w:t>
            </w:r>
            <w:r>
              <w:rPr>
                <w:rFonts w:hint="default" w:ascii="Times New Roman" w:hAnsi="Times New Roman" w:eastAsia="仿宋" w:cs="Times New Roman"/>
                <w:color w:val="auto"/>
                <w:sz w:val="24"/>
                <w:lang w:bidi="en-US"/>
              </w:rPr>
              <w:t>，临时占地以场内施工道路占地面积最大。根据现场实地调查情况，工程临时占地的植被类型以灌丛和灌草丛为主，典型群系有</w:t>
            </w:r>
            <w:r>
              <w:rPr>
                <w:rFonts w:hint="eastAsia" w:eastAsia="仿宋" w:cs="Times New Roman"/>
                <w:color w:val="auto"/>
                <w:sz w:val="24"/>
                <w:lang w:eastAsia="zh-CN"/>
              </w:rPr>
              <w:t>常绿阔叶、针叶</w:t>
            </w:r>
            <w:r>
              <w:rPr>
                <w:rFonts w:hint="eastAsia" w:eastAsia="仿宋" w:cs="Times New Roman"/>
                <w:color w:val="auto"/>
                <w:sz w:val="24"/>
                <w:lang w:val="en-US" w:eastAsia="zh-CN"/>
              </w:rPr>
              <w:t>林</w:t>
            </w:r>
            <w:r>
              <w:rPr>
                <w:rFonts w:hint="default" w:ascii="Times New Roman" w:hAnsi="Times New Roman" w:eastAsia="仿宋" w:cs="Times New Roman"/>
                <w:color w:val="auto"/>
                <w:sz w:val="24"/>
              </w:rPr>
              <w:t>等</w:t>
            </w:r>
            <w:r>
              <w:rPr>
                <w:rFonts w:hint="default" w:ascii="Times New Roman" w:hAnsi="Times New Roman" w:eastAsia="仿宋" w:cs="Times New Roman"/>
                <w:color w:val="auto"/>
                <w:sz w:val="24"/>
                <w:lang w:bidi="en-US"/>
              </w:rPr>
              <w:t>。</w:t>
            </w:r>
            <w:r>
              <w:rPr>
                <w:rFonts w:hint="default" w:ascii="Times New Roman" w:hAnsi="Times New Roman" w:eastAsia="仿宋" w:cs="Times New Roman"/>
                <w:color w:val="auto"/>
                <w:sz w:val="24"/>
              </w:rPr>
              <w:t>随着施工结束，临时施工区植物及植被在适宜条件下可迅速得到恢复，因此，工程临时占地对占地区植物种类、植被类型影响较小</w:t>
            </w:r>
            <w:r>
              <w:rPr>
                <w:rFonts w:hint="default" w:ascii="Times New Roman" w:hAnsi="Times New Roman" w:eastAsia="仿宋" w:cs="Times New Roman"/>
                <w:color w:val="auto"/>
                <w:sz w:val="24"/>
                <w:lang w:bidi="en-US"/>
              </w:rPr>
              <w:t>。</w:t>
            </w:r>
          </w:p>
          <w:p>
            <w:pPr>
              <w:pStyle w:val="61"/>
              <w:rPr>
                <w:rFonts w:hint="default" w:ascii="Times New Roman" w:hAnsi="Times New Roman" w:eastAsia="仿宋" w:cs="Times New Roman"/>
                <w:color w:val="auto"/>
                <w:lang w:bidi="en-US"/>
              </w:rPr>
            </w:pPr>
            <w:r>
              <w:rPr>
                <w:rFonts w:hint="default" w:ascii="Times New Roman" w:hAnsi="Times New Roman" w:eastAsia="仿宋" w:cs="Times New Roman"/>
                <w:color w:val="auto"/>
                <w:lang w:bidi="en-US"/>
              </w:rPr>
              <w:t>工程施工的临时占地部分，随施工结束和植被恢复措施的实施，工程影响会逐渐消失，临时占地地表植被恢复等措施的实施，将使区域内植被覆盖率形成一种动态形式的平衡，因此，临时占地对植被的影响是暂时的、可恢复的。</w:t>
            </w:r>
          </w:p>
          <w:p>
            <w:pPr>
              <w:pStyle w:val="61"/>
              <w:ind w:firstLine="482"/>
              <w:rPr>
                <w:rFonts w:hint="default" w:ascii="Times New Roman" w:hAnsi="Times New Roman" w:eastAsia="仿宋" w:cs="Times New Roman"/>
                <w:b/>
                <w:color w:val="auto"/>
              </w:rPr>
            </w:pPr>
            <w:r>
              <w:rPr>
                <w:rFonts w:hint="default" w:ascii="Times New Roman" w:hAnsi="Times New Roman" w:eastAsia="仿宋" w:cs="Times New Roman"/>
                <w:b/>
                <w:color w:val="auto"/>
              </w:rPr>
              <w:t>（2）施工活动对植物及植被的影响</w:t>
            </w:r>
          </w:p>
          <w:p>
            <w:pPr>
              <w:autoSpaceDE w:val="0"/>
              <w:autoSpaceDN w:val="0"/>
              <w:adjustRightInd w:val="0"/>
              <w:spacing w:line="360" w:lineRule="auto"/>
              <w:ind w:firstLine="480" w:firstLineChars="200"/>
              <w:rPr>
                <w:rFonts w:hint="default" w:ascii="Times New Roman" w:hAnsi="Times New Roman" w:eastAsia="仿宋" w:cs="Times New Roman"/>
                <w:color w:val="auto"/>
                <w:sz w:val="24"/>
                <w:lang w:bidi="en-US"/>
              </w:rPr>
            </w:pPr>
            <w:r>
              <w:rPr>
                <w:rFonts w:hint="default" w:ascii="Times New Roman" w:hAnsi="Times New Roman" w:eastAsia="仿宋" w:cs="Times New Roman"/>
                <w:color w:val="auto"/>
                <w:sz w:val="24"/>
                <w:lang w:bidi="en-US"/>
              </w:rPr>
              <w:t>工程施工期间人为的踩踏、产生的粉尘、废气、废水、废渣等将对周围环境产生影响，可能影响植物生活的立地环境条件。</w:t>
            </w:r>
          </w:p>
          <w:p>
            <w:pPr>
              <w:autoSpaceDE w:val="0"/>
              <w:autoSpaceDN w:val="0"/>
              <w:adjustRightInd w:val="0"/>
              <w:spacing w:after="20" w:line="360" w:lineRule="auto"/>
              <w:ind w:firstLine="480" w:firstLineChars="200"/>
              <w:rPr>
                <w:rFonts w:hint="default" w:ascii="Times New Roman" w:hAnsi="Times New Roman" w:eastAsia="仿宋" w:cs="Times New Roman"/>
                <w:color w:val="auto"/>
                <w:sz w:val="24"/>
                <w:lang w:bidi="en-US"/>
              </w:rPr>
            </w:pPr>
            <w:r>
              <w:rPr>
                <w:rFonts w:hint="default" w:ascii="Times New Roman" w:hAnsi="Times New Roman" w:eastAsia="仿宋" w:cs="Times New Roman"/>
                <w:color w:val="auto"/>
                <w:sz w:val="24"/>
                <w:lang w:bidi="en-US"/>
              </w:rPr>
              <w:t>a、施工期人为的踩踏会直接导致植物死亡，导致植物数量减少，但施工期严格划定施工范围红线，并且规范施工人员的行为，人为踩踏的情况则是可以避免的，人为踩踏对植物的影响也是可控的。</w:t>
            </w:r>
          </w:p>
          <w:p>
            <w:pPr>
              <w:autoSpaceDE w:val="0"/>
              <w:autoSpaceDN w:val="0"/>
              <w:adjustRightInd w:val="0"/>
              <w:spacing w:after="20" w:line="360" w:lineRule="auto"/>
              <w:ind w:firstLine="480" w:firstLineChars="200"/>
              <w:rPr>
                <w:rFonts w:hint="default" w:ascii="Times New Roman" w:hAnsi="Times New Roman" w:eastAsia="仿宋" w:cs="Times New Roman"/>
                <w:color w:val="auto"/>
                <w:sz w:val="24"/>
                <w:lang w:bidi="en-US"/>
              </w:rPr>
            </w:pPr>
            <w:r>
              <w:rPr>
                <w:rFonts w:hint="default" w:ascii="Times New Roman" w:hAnsi="Times New Roman" w:eastAsia="仿宋" w:cs="Times New Roman"/>
                <w:color w:val="auto"/>
                <w:sz w:val="24"/>
                <w:lang w:bidi="en-US"/>
              </w:rPr>
              <w:t>b、风电场的施工过程会产生粉尘、扬尘。粉尘降落到植物表面将影响植物的光合效率。降水冲刷和自然雨水的冲刷可使这种影响消失，所以粉尘、扬尘对植物生长的影响较小。施工过程中产生的废气同样会影响到植物的光合作用，而施工废气主要在施工区域两侧短时间内浓度较高，一定时间过后即会散去，因此，施工废气对植物的影响范围较小，时间较短。</w:t>
            </w:r>
          </w:p>
          <w:p>
            <w:pPr>
              <w:autoSpaceDE w:val="0"/>
              <w:autoSpaceDN w:val="0"/>
              <w:adjustRightInd w:val="0"/>
              <w:spacing w:after="20" w:line="360" w:lineRule="auto"/>
              <w:ind w:firstLine="480" w:firstLineChars="200"/>
              <w:rPr>
                <w:rFonts w:hint="default" w:ascii="Times New Roman" w:hAnsi="Times New Roman" w:eastAsia="仿宋" w:cs="Times New Roman"/>
                <w:color w:val="auto"/>
                <w:sz w:val="24"/>
                <w:lang w:bidi="en-US"/>
              </w:rPr>
            </w:pPr>
            <w:r>
              <w:rPr>
                <w:rFonts w:hint="default" w:ascii="Times New Roman" w:hAnsi="Times New Roman" w:eastAsia="仿宋" w:cs="Times New Roman"/>
                <w:color w:val="auto"/>
                <w:sz w:val="24"/>
                <w:lang w:bidi="en-US"/>
              </w:rPr>
              <w:t>c、施工期会产生一定的废水，包括生产废水和生活废水。生产废水主要为各种施工机械运转的冷却和洗涤水、施工现场清洗水、混凝土养护等产生的废水，含有少量的油污及泥沙，若直接排放，会对附近土壤及地表水体造成影响，进而会影响植物的生长。本项目对施工废水采取设置隔油池、沉砂池进行收集，用于施工场地洒水或自然蒸发。施工期生活污水</w:t>
            </w:r>
            <w:r>
              <w:rPr>
                <w:rFonts w:hint="eastAsia" w:eastAsia="仿宋" w:cs="Times New Roman"/>
                <w:color w:val="auto"/>
                <w:sz w:val="24"/>
                <w:lang w:val="en-US" w:eastAsia="zh-CN" w:bidi="en-US"/>
              </w:rPr>
              <w:t>经化粪池处理后，定期交由当地村民用于土地施肥</w:t>
            </w:r>
            <w:r>
              <w:rPr>
                <w:rFonts w:hint="default" w:ascii="Times New Roman" w:hAnsi="Times New Roman" w:eastAsia="仿宋" w:cs="Times New Roman"/>
                <w:color w:val="auto"/>
                <w:sz w:val="24"/>
                <w:lang w:bidi="en-US"/>
              </w:rPr>
              <w:t>。因此，积极采取这些措施，施工期的废水对植被的影响是有限的。</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bidi="en-US"/>
              </w:rPr>
              <w:t>d、施工期产生建筑材料及生活垃圾的堆放会压覆植物，导致植物死亡。材料的堆放属于临时占地，临时占地在施工结束后会进行植被恢复，对植物的影响是暂时的。施工期施工弃渣运至指定堆放场地进行堆放，施工临时设施区设垃圾筒，生活垃圾定期用车运出施工场地至就近的垃圾处理场进行处理，并且在施工结束后及时进行植被恢复，将对植物的影响降至最小。</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1.4对陆生动物的影响</w:t>
            </w:r>
          </w:p>
          <w:p>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本项目工程共计占地面积</w:t>
            </w:r>
            <w:r>
              <w:rPr>
                <w:rFonts w:hint="eastAsia" w:eastAsia="仿宋" w:cs="Times New Roman"/>
                <w:color w:val="auto"/>
                <w:kern w:val="0"/>
                <w:sz w:val="24"/>
                <w:lang w:eastAsia="zh-CN"/>
              </w:rPr>
              <w:t>12.4254</w:t>
            </w:r>
            <w:r>
              <w:rPr>
                <w:rFonts w:hint="default" w:ascii="Times New Roman" w:hAnsi="Times New Roman" w:eastAsia="仿宋" w:cs="Times New Roman"/>
                <w:color w:val="auto"/>
                <w:kern w:val="0"/>
                <w:sz w:val="24"/>
              </w:rPr>
              <w:t>hm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bCs/>
                <w:color w:val="auto"/>
                <w:sz w:val="24"/>
              </w:rPr>
              <w:t>，其中永久占地</w:t>
            </w:r>
            <w:r>
              <w:rPr>
                <w:rFonts w:hint="eastAsia" w:eastAsia="仿宋" w:cs="Times New Roman"/>
                <w:bCs/>
                <w:color w:val="auto"/>
                <w:sz w:val="24"/>
                <w:lang w:eastAsia="zh-CN"/>
              </w:rPr>
              <w:t>0.6554</w:t>
            </w:r>
            <w:r>
              <w:rPr>
                <w:rFonts w:hint="default" w:ascii="Times New Roman" w:hAnsi="Times New Roman" w:eastAsia="仿宋" w:cs="Times New Roman"/>
                <w:color w:val="auto"/>
                <w:kern w:val="0"/>
                <w:sz w:val="24"/>
              </w:rPr>
              <w:t>hm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bCs/>
                <w:color w:val="auto"/>
                <w:sz w:val="24"/>
              </w:rPr>
              <w:t>，主要为风机及箱变基础、升压站、集电线路和场内道路等。临时占地</w:t>
            </w:r>
            <w:r>
              <w:rPr>
                <w:rFonts w:hint="eastAsia" w:eastAsia="仿宋" w:cs="Times New Roman"/>
                <w:bCs/>
                <w:color w:val="auto"/>
                <w:sz w:val="24"/>
                <w:lang w:val="en-US" w:eastAsia="zh-CN"/>
              </w:rPr>
              <w:t>11.77</w:t>
            </w:r>
            <w:r>
              <w:rPr>
                <w:rFonts w:hint="default" w:ascii="Times New Roman" w:hAnsi="Times New Roman" w:eastAsia="仿宋" w:cs="Times New Roman"/>
                <w:color w:val="auto"/>
                <w:kern w:val="0"/>
                <w:sz w:val="24"/>
              </w:rPr>
              <w:t>hm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bCs/>
                <w:color w:val="auto"/>
                <w:sz w:val="24"/>
              </w:rPr>
              <w:t>，主要为</w:t>
            </w:r>
            <w:r>
              <w:rPr>
                <w:rFonts w:hint="default" w:ascii="Times New Roman" w:hAnsi="Times New Roman" w:eastAsia="仿宋" w:cs="Times New Roman"/>
                <w:color w:val="auto"/>
                <w:sz w:val="24"/>
              </w:rPr>
              <w:t>场内施工道路、风机安装场地、临时施工用地等</w:t>
            </w:r>
            <w:r>
              <w:rPr>
                <w:rFonts w:hint="default" w:ascii="Times New Roman" w:hAnsi="Times New Roman" w:eastAsia="仿宋" w:cs="Times New Roman"/>
                <w:bCs/>
                <w:color w:val="auto"/>
                <w:sz w:val="24"/>
              </w:rPr>
              <w:t>。工程占地类型主要为林地</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根据现场调查</w:t>
            </w:r>
            <w:r>
              <w:rPr>
                <w:rFonts w:hint="eastAsia" w:eastAsia="仿宋" w:cs="Times New Roman"/>
                <w:bCs/>
                <w:color w:val="auto"/>
                <w:sz w:val="24"/>
                <w:lang w:val="en-US" w:eastAsia="zh-CN"/>
              </w:rPr>
              <w:t>项目占地内主要为</w:t>
            </w:r>
            <w:r>
              <w:rPr>
                <w:rFonts w:hint="default" w:ascii="Times New Roman" w:hAnsi="Times New Roman" w:eastAsia="仿宋" w:cs="Times New Roman"/>
                <w:bCs/>
                <w:color w:val="auto"/>
                <w:sz w:val="24"/>
              </w:rPr>
              <w:t>常见的陆生野生动物鸟类和小型哺乳类，移动能力相对较强，施工期间植被破坏后会迫使其迁移至周边影响较小的环境中去。因此工程占地会缩小野生动物的栖息空间，限制部分陆生动物的活动区域、觅食范围等，从而对陆生动物的生存产生不利影响。考虑到周边相似生境较多，占地面积相对较少，在施工结束后随着占地区域水土保持以及植被恢复措施的实施，其对周边的动物产生的不利影响将有所缓解。</w:t>
            </w:r>
          </w:p>
          <w:p>
            <w:pPr>
              <w:spacing w:line="360" w:lineRule="auto"/>
              <w:ind w:firstLine="454"/>
              <w:rPr>
                <w:rFonts w:hint="default" w:ascii="Times New Roman" w:hAnsi="Times New Roman" w:eastAsia="仿宋" w:cs="Times New Roman"/>
                <w:b/>
                <w:color w:val="auto"/>
                <w:sz w:val="24"/>
                <w:lang w:val="zh-CN"/>
              </w:rPr>
            </w:pPr>
            <w:r>
              <w:rPr>
                <w:rFonts w:hint="default" w:ascii="Times New Roman" w:hAnsi="Times New Roman" w:eastAsia="仿宋" w:cs="Times New Roman"/>
                <w:b/>
                <w:color w:val="auto"/>
                <w:sz w:val="24"/>
                <w:lang w:val="zh-CN"/>
              </w:rPr>
              <w:t>（1）施工噪声及震动对动物的影响</w:t>
            </w:r>
          </w:p>
          <w:p>
            <w:pPr>
              <w:autoSpaceDE w:val="0"/>
              <w:autoSpaceDN w:val="0"/>
              <w:adjustRightInd w:val="0"/>
              <w:spacing w:after="48"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通常鸟类栖息地以外背景噪声（如树叶摇动等）平均为45dB（A），当等效连续A声级</w:t>
            </w:r>
            <w:bookmarkStart w:id="9" w:name="_Hlk67051586"/>
            <w:r>
              <w:rPr>
                <w:rFonts w:hint="default" w:ascii="Times New Roman" w:hAnsi="Times New Roman" w:eastAsia="仿宋" w:cs="Times New Roman"/>
                <w:color w:val="auto"/>
                <w:sz w:val="24"/>
              </w:rPr>
              <w:t>L</w:t>
            </w:r>
            <w:r>
              <w:rPr>
                <w:rFonts w:hint="default" w:ascii="Times New Roman" w:hAnsi="Times New Roman" w:eastAsia="仿宋" w:cs="Times New Roman"/>
                <w:color w:val="auto"/>
                <w:sz w:val="24"/>
                <w:vertAlign w:val="subscript"/>
              </w:rPr>
              <w:t>Aeq</w:t>
            </w:r>
            <w:bookmarkEnd w:id="9"/>
            <w:r>
              <w:rPr>
                <w:rFonts w:hint="default" w:ascii="Times New Roman" w:hAnsi="Times New Roman" w:eastAsia="仿宋" w:cs="Times New Roman"/>
                <w:color w:val="auto"/>
                <w:sz w:val="24"/>
              </w:rPr>
              <w:t>，24h超过50dB（A），可能对鸟类的栖息和繁殖产生较小的影响。考虑到周边植被等遮挡物的原因，本项目在施工期对周边较近范围的鸟类栖息会产生一定干扰。由于整个工程总工期为</w:t>
            </w:r>
            <w:r>
              <w:rPr>
                <w:rFonts w:hint="default" w:ascii="Times New Roman" w:hAnsi="Times New Roman" w:eastAsia="仿宋" w:cs="Times New Roman"/>
                <w:bCs/>
                <w:color w:val="auto"/>
                <w:sz w:val="24"/>
              </w:rPr>
              <w:t>12</w:t>
            </w:r>
            <w:r>
              <w:rPr>
                <w:rFonts w:hint="default" w:ascii="Times New Roman" w:hAnsi="Times New Roman" w:eastAsia="仿宋" w:cs="Times New Roman"/>
                <w:color w:val="auto"/>
                <w:sz w:val="24"/>
              </w:rPr>
              <w:t>个月，其中3~6月份为大多数鸟类的繁殖月份，工程施工产生的噪声对附近较近距离鸟类的交流和繁殖产生不利影响，迫使鸟类远离施工区域，造成短期内项目区鸟类分布的种类、数量等发生变化。根据现场调查并参考相关资料，其影响的主要种类有八哥、喜鹊等常见鸟类。施工区周边基本以</w:t>
            </w:r>
            <w:r>
              <w:rPr>
                <w:rFonts w:hint="eastAsia" w:eastAsia="仿宋" w:cs="Times New Roman"/>
                <w:color w:val="auto"/>
                <w:sz w:val="24"/>
                <w:lang w:val="en-US" w:eastAsia="zh-CN"/>
              </w:rPr>
              <w:t>耕地</w:t>
            </w:r>
            <w:r>
              <w:rPr>
                <w:rFonts w:hint="default" w:ascii="Times New Roman" w:hAnsi="Times New Roman" w:eastAsia="仿宋" w:cs="Times New Roman"/>
                <w:color w:val="auto"/>
                <w:sz w:val="24"/>
              </w:rPr>
              <w:t>为主，有大量相似的栖息生境，鸟类在施工期间会主动避让施工活动区域并转移到周边噪音较小的生境中活动，</w:t>
            </w:r>
            <w:r>
              <w:rPr>
                <w:rFonts w:hint="default" w:ascii="Times New Roman" w:hAnsi="Times New Roman" w:eastAsia="仿宋" w:cs="Times New Roman"/>
                <w:color w:val="auto"/>
                <w:kern w:val="0"/>
                <w:sz w:val="24"/>
              </w:rPr>
              <w:t>远离施工区</w:t>
            </w:r>
            <w:r>
              <w:rPr>
                <w:rFonts w:hint="default" w:ascii="Times New Roman" w:hAnsi="Times New Roman" w:eastAsia="仿宋" w:cs="Times New Roman"/>
                <w:color w:val="auto"/>
                <w:sz w:val="24"/>
              </w:rPr>
              <w:t>。因此，施工噪音对当地鸟类的影响基本可控。</w:t>
            </w:r>
          </w:p>
          <w:p>
            <w:pPr>
              <w:spacing w:line="360" w:lineRule="auto"/>
              <w:ind w:firstLine="48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除鸟类之外，还分布有两栖类、爬行类和哺乳类动物，噪声的干扰和震动可能对部分无法快速移动的部分个体造成伤害。由于工程各阶段施工时间短、各风机设置点分散，这些不利影响会将随施工的结束而逐渐消失。</w:t>
            </w:r>
          </w:p>
          <w:p>
            <w:pPr>
              <w:spacing w:line="360" w:lineRule="auto"/>
              <w:ind w:firstLine="454"/>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（2）污染物的排放对动物的影响</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施工期间会产生一定的固体废物，</w:t>
            </w:r>
            <w:r>
              <w:rPr>
                <w:rFonts w:hint="default" w:ascii="Times New Roman" w:hAnsi="Times New Roman" w:eastAsia="仿宋" w:cs="Times New Roman"/>
                <w:color w:val="auto"/>
                <w:sz w:val="24"/>
              </w:rPr>
              <w:t>将会影响周围环境卫生，对动物的栖息环境造成污染和破坏。产生的固体废物主要为工程弃渣、建筑垃圾和生活垃圾。施工期间应将固废物运往指定位置处理，施工人员的生活垃圾运往垃圾处理地点，不能随意堆放，防止污染动物栖息环境。</w:t>
            </w:r>
          </w:p>
          <w:p>
            <w:pPr>
              <w:autoSpaceDE w:val="0"/>
              <w:autoSpaceDN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施工过程中水污染物主要是生产废水和施工人员的生活污水。本工程的生产废水主要包括机械修配废水和施工机械冲洗废水等，如果不合理排放至周边的</w:t>
            </w:r>
            <w:r>
              <w:rPr>
                <w:rFonts w:hint="eastAsia" w:eastAsia="仿宋" w:cs="Times New Roman"/>
                <w:bCs/>
                <w:color w:val="auto"/>
                <w:sz w:val="24"/>
                <w:lang w:val="en-US" w:eastAsia="zh-CN"/>
              </w:rPr>
              <w:t>土地</w:t>
            </w:r>
            <w:r>
              <w:rPr>
                <w:rFonts w:hint="default" w:ascii="Times New Roman" w:hAnsi="Times New Roman" w:eastAsia="仿宋" w:cs="Times New Roman"/>
                <w:bCs/>
                <w:color w:val="auto"/>
                <w:sz w:val="24"/>
              </w:rPr>
              <w:t>和周边水库中，对其水质有较大影响，并间接影响两栖类、爬行类和水鸟类等湿地环境生活的动物种群。本工程产生的水量相对较小，基本不会形成水流，因此，可设置集水池进行收集，用于施工场地洒水或自然蒸发。</w:t>
            </w:r>
            <w:r>
              <w:rPr>
                <w:rFonts w:hint="eastAsia" w:eastAsia="仿宋" w:cs="Times New Roman"/>
                <w:bCs/>
                <w:color w:val="auto"/>
                <w:sz w:val="24"/>
                <w:lang w:val="en-US" w:eastAsia="zh-CN"/>
              </w:rPr>
              <w:t>施工期施工人员生活污水经化粪池处理后，定期交由当地村民用于土地施肥</w:t>
            </w:r>
            <w:r>
              <w:rPr>
                <w:rFonts w:hint="default" w:ascii="Times New Roman" w:hAnsi="Times New Roman" w:eastAsia="仿宋" w:cs="Times New Roman"/>
                <w:bCs/>
                <w:color w:val="auto"/>
                <w:sz w:val="24"/>
              </w:rPr>
              <w:t>。</w:t>
            </w:r>
          </w:p>
          <w:p>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此外，施工过程中还会对大气环境产生一定污染，其污染物主要为施工产生一定的粉尘和废气，粉尘来源主要有风机设备进场及场内道路施工产生的施工粉尘与设备运输车辆扬尘。废气主要来源施工机械的尾气排放。施工产生的废气和粉尘在短期内对</w:t>
            </w:r>
            <w:r>
              <w:rPr>
                <w:rFonts w:hint="default" w:ascii="Times New Roman" w:hAnsi="Times New Roman" w:eastAsia="仿宋" w:cs="Times New Roman"/>
                <w:color w:val="auto"/>
                <w:sz w:val="24"/>
              </w:rPr>
              <w:t>空气质量产生影响，尤其是</w:t>
            </w:r>
            <w:r>
              <w:rPr>
                <w:rFonts w:hint="default" w:ascii="Times New Roman" w:hAnsi="Times New Roman" w:eastAsia="仿宋" w:cs="Times New Roman"/>
                <w:color w:val="auto"/>
                <w:sz w:val="24"/>
                <w:lang w:val="zh-CN"/>
              </w:rPr>
              <w:t>施工场地下风向约100m范围内扬尘影响较大，</w:t>
            </w:r>
            <w:r>
              <w:rPr>
                <w:rFonts w:hint="default" w:ascii="Times New Roman" w:hAnsi="Times New Roman" w:eastAsia="仿宋" w:cs="Times New Roman"/>
                <w:color w:val="auto"/>
                <w:sz w:val="24"/>
              </w:rPr>
              <w:t>进而影响动物栖息环境。</w:t>
            </w:r>
            <w:r>
              <w:rPr>
                <w:rFonts w:hint="default" w:ascii="Times New Roman" w:hAnsi="Times New Roman" w:eastAsia="仿宋" w:cs="Times New Roman"/>
                <w:bCs/>
                <w:color w:val="auto"/>
                <w:sz w:val="24"/>
              </w:rPr>
              <w:t>由于道路施工规模小，施工相对简单，工期短，施工期间产生粉尘是短期的、暂时的和局部的，在采取洒水降尘措施后对该地区环境空气质量影响可以进一步减小。</w:t>
            </w:r>
          </w:p>
          <w:p>
            <w:pPr>
              <w:spacing w:line="360" w:lineRule="auto"/>
              <w:ind w:firstLine="482"/>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以上分析表明，本项目在施工期对野生动物影响基本可控，其影响时间只集中在主体工程施工期间，对动物的影响将随着施工的结束和临时占地植被的恢复而减缓</w:t>
            </w:r>
            <w:r>
              <w:rPr>
                <w:rFonts w:hint="default" w:ascii="Times New Roman" w:hAnsi="Times New Roman" w:eastAsia="仿宋" w:cs="Times New Roman"/>
                <w:color w:val="auto"/>
                <w:sz w:val="24"/>
              </w:rPr>
              <w:t>。</w:t>
            </w:r>
          </w:p>
          <w:p>
            <w:pPr>
              <w:spacing w:line="360" w:lineRule="auto"/>
              <w:ind w:firstLine="48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（3）施工期对鸟类迁徙的影响</w:t>
            </w:r>
          </w:p>
          <w:p>
            <w:pPr>
              <w:spacing w:line="360" w:lineRule="auto"/>
              <w:ind w:firstLine="482"/>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工程施工噪声、人为活动会影响鸟类迁徙过程中在区域的栖息和觅食行为以及停留时间。在中观尺度上，项目区不涉及</w:t>
            </w:r>
            <w:r>
              <w:rPr>
                <w:rFonts w:hint="eastAsia" w:eastAsia="仿宋" w:cs="Times New Roman"/>
                <w:bCs/>
                <w:color w:val="auto"/>
                <w:sz w:val="24"/>
                <w:lang w:eastAsia="zh-CN"/>
              </w:rPr>
              <w:t>四川</w:t>
            </w:r>
            <w:r>
              <w:rPr>
                <w:rFonts w:hint="default" w:ascii="Times New Roman" w:hAnsi="Times New Roman" w:eastAsia="仿宋" w:cs="Times New Roman"/>
                <w:bCs/>
                <w:color w:val="auto"/>
                <w:sz w:val="24"/>
              </w:rPr>
              <w:t>省鸟类迁徙通道；在微观尺度上，项目区内无鸟类迁徙通道，</w:t>
            </w:r>
            <w:r>
              <w:rPr>
                <w:rFonts w:hint="default" w:ascii="Times New Roman" w:hAnsi="Times New Roman" w:eastAsia="仿宋" w:cs="Times New Roman"/>
                <w:color w:val="auto"/>
                <w:sz w:val="24"/>
              </w:rPr>
              <w:t>工程施工不会对鸟类迁徙造成干扰较小。</w:t>
            </w:r>
          </w:p>
          <w:p>
            <w:pPr>
              <w:autoSpaceDE w:val="0"/>
              <w:autoSpaceDN w:val="0"/>
              <w:spacing w:line="360" w:lineRule="auto"/>
              <w:ind w:firstLine="482"/>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在施工期间，夜间施工的照明光源可能对过往的鸟类产生一定吸引，因此会对鸟类造成一定的伤害并干扰其正常飞行。故而在夜间需要采取保护措施以控制好风电场的光源产生，如禁止夜间施工，减少项目区车辆灯光和施工人员照明灯光的持续时间等，这些措施均可大大降低对迁徙鸟类的威胁</w:t>
            </w:r>
            <w:r>
              <w:rPr>
                <w:rFonts w:hint="default" w:ascii="Times New Roman" w:hAnsi="Times New Roman" w:eastAsia="仿宋" w:cs="Times New Roman"/>
                <w:color w:val="auto"/>
                <w:kern w:val="0"/>
                <w:sz w:val="24"/>
              </w:rPr>
              <w:t>。</w:t>
            </w:r>
          </w:p>
          <w:p>
            <w:pPr>
              <w:spacing w:line="360" w:lineRule="auto"/>
              <w:ind w:firstLine="482"/>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以上分析表明，本项目在施工期对野生动物影响较小，且影响时间相对较短，对动物的影响将随着施工的结束和临时占地植被的恢复而缓解乃至消失。</w:t>
            </w:r>
          </w:p>
          <w:p>
            <w:pPr>
              <w:spacing w:line="360" w:lineRule="auto"/>
              <w:outlineLvl w:val="3"/>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1.5水土流失影响预测分析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工程施工过程中，开挖、占用、碾压等活动将扰动原地貌，损坏原有土地、植被，造成地表裸露和土层松动等现象，使工程区域土壤可蚀性指数升高，表层土抗蚀能力减弱，从而使其原有的水土保持功能降低或丧失，易造成水土流失。继而带走土壤表层的营养物质，降低土壤肥力，影响当地农作物的生长，对土地资源的再利用带来不利影响。本工程施工期可能产生的水土流失的影响因素见表4-2。</w:t>
            </w:r>
          </w:p>
          <w:p>
            <w:pPr>
              <w:spacing w:line="36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表4-2  施工期可能产生水土流失的影响因素一览表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0"/>
              <w:gridCol w:w="1654"/>
              <w:gridCol w:w="58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706" w:type="pct"/>
                  <w:vAlign w:val="center"/>
                </w:tcPr>
                <w:p>
                  <w:pPr>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工程项目</w:t>
                  </w:r>
                </w:p>
              </w:tc>
              <w:tc>
                <w:tcPr>
                  <w:tcW w:w="942" w:type="pct"/>
                  <w:vAlign w:val="center"/>
                </w:tcPr>
                <w:p>
                  <w:pPr>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主要施工活动</w:t>
                  </w:r>
                </w:p>
              </w:tc>
              <w:tc>
                <w:tcPr>
                  <w:tcW w:w="3351" w:type="pct"/>
                  <w:vAlign w:val="center"/>
                </w:tcPr>
                <w:p>
                  <w:pPr>
                    <w:widowControl/>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水土流失影响分析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06"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风机区</w:t>
                  </w:r>
                </w:p>
              </w:tc>
              <w:tc>
                <w:tcPr>
                  <w:tcW w:w="942"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场地平整、基础施工、设备安装及调试</w:t>
                  </w:r>
                </w:p>
              </w:tc>
              <w:tc>
                <w:tcPr>
                  <w:tcW w:w="3351"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场地平整过程中扰动地表、损坏植被、改变土壤结构，土石方临时堆放，挖填裸露边坡，降雨及大风时极易导致水土流失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06"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道路区</w:t>
                  </w:r>
                </w:p>
              </w:tc>
              <w:tc>
                <w:tcPr>
                  <w:tcW w:w="942"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路基平整、路面铺筑、车辆运输</w:t>
                  </w:r>
                </w:p>
              </w:tc>
              <w:tc>
                <w:tcPr>
                  <w:tcW w:w="3351"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扰动地表、损坏植被，施工过程中土方挖填及临时堆放，土石方开挖及填筑形成裸露不稳定边坡，降雨及大风时易产生水土流失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06" w:type="pct"/>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升压站区</w:t>
                  </w:r>
                </w:p>
              </w:tc>
              <w:tc>
                <w:tcPr>
                  <w:tcW w:w="942" w:type="pct"/>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场地平整、基础施工、设备安装及调试</w:t>
                  </w:r>
                </w:p>
              </w:tc>
              <w:tc>
                <w:tcPr>
                  <w:tcW w:w="3351" w:type="pct"/>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扰动地表、损坏植被、改变土壤结构、土石方临时堆放以及开挖、填筑形成裸露不稳定边坡，降雨及大风时极易导致水土流失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706"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集电线路区</w:t>
                  </w:r>
                </w:p>
              </w:tc>
              <w:tc>
                <w:tcPr>
                  <w:tcW w:w="942"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基础施工、土方回填</w:t>
                  </w:r>
                </w:p>
              </w:tc>
              <w:tc>
                <w:tcPr>
                  <w:tcW w:w="3351" w:type="pct"/>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扰动地表、损坏植被、土方临时堆放等，降雨及大风时易产生水土流失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706" w:type="pct"/>
                  <w:vAlign w:val="center"/>
                </w:tcPr>
                <w:p>
                  <w:pPr>
                    <w:pStyle w:val="67"/>
                    <w:rPr>
                      <w:rFonts w:hint="eastAsia" w:ascii="Times New Roman" w:hAnsi="Times New Roman" w:eastAsia="仿宋" w:cs="Times New Roman"/>
                      <w:color w:val="auto"/>
                      <w:lang w:val="en-US" w:eastAsia="zh-CN"/>
                    </w:rPr>
                  </w:pPr>
                  <w:r>
                    <w:rPr>
                      <w:rFonts w:hint="eastAsia" w:eastAsia="仿宋" w:cs="Times New Roman"/>
                      <w:color w:val="auto"/>
                      <w:lang w:val="en-US" w:eastAsia="zh-CN"/>
                    </w:rPr>
                    <w:t>施工生产生活区</w:t>
                  </w:r>
                </w:p>
              </w:tc>
              <w:tc>
                <w:tcPr>
                  <w:tcW w:w="942" w:type="pct"/>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场地平整、设施修筑</w:t>
                  </w:r>
                </w:p>
              </w:tc>
              <w:tc>
                <w:tcPr>
                  <w:tcW w:w="3351" w:type="pct"/>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扰动地表、破坏植被，部分场地硬化减少地表水分入渗，增加径流</w:t>
                  </w:r>
                </w:p>
              </w:tc>
            </w:tr>
          </w:tbl>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工程建设过程中如不采取有效的水土保持措施，将对工程和当地的水土资源及生态环境带来不利的影响，主要表现在：</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①影响附近居民</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流失土壤在径流的夹带下可能掩埋附近道路及绿地等，影响居民生产。</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②加速土地肥力流失，使土地贫瘠</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水土流失的加剧，使土壤有机质流失、结构破坏，土壤中的氮、磷和有机物及无机盐含量迅速下降。同时土壤中生物、微生物及它们的衍生物数量也大大降低，从而使土地条件迅速恶化。</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③破坏生态系统，影响生态平衡</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水土流失的加剧，破坏了植物生长环境，随着植被减少，容易造成小气候干旱、燥热，影响生态平衡，从而导致水、旱灾害的频繁发生，使附近居民的生产生活环境也随之恶化。</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④影响环境景观</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建设将因扰动原地貌、破坏大量的植被面积，使项目区水土保持功能在一定时期内大为降低甚至丧失，从而可能造成局部的水土流失，破坏生态环境。必须采取切实可行的水土保持措施，控制水土流失，改善生态环境。</w:t>
            </w:r>
          </w:p>
          <w:p>
            <w:pPr>
              <w:spacing w:line="360" w:lineRule="auto"/>
              <w:rPr>
                <w:rFonts w:hint="default" w:ascii="Times New Roman" w:hAnsi="Times New Roman" w:eastAsia="仿宋" w:cs="Times New Roman"/>
                <w:b/>
                <w:color w:val="auto"/>
                <w:kern w:val="0"/>
                <w:sz w:val="24"/>
              </w:rPr>
            </w:pPr>
            <w:r>
              <w:rPr>
                <w:rFonts w:hint="default" w:ascii="Times New Roman" w:hAnsi="Times New Roman" w:eastAsia="仿宋" w:cs="Times New Roman"/>
                <w:b/>
                <w:color w:val="auto"/>
                <w:kern w:val="0"/>
                <w:sz w:val="24"/>
              </w:rPr>
              <w:t>1.</w:t>
            </w:r>
            <w:r>
              <w:rPr>
                <w:rFonts w:hint="eastAsia" w:eastAsia="仿宋" w:cs="Times New Roman"/>
                <w:b/>
                <w:color w:val="auto"/>
                <w:kern w:val="0"/>
                <w:sz w:val="24"/>
                <w:lang w:val="en-US" w:eastAsia="zh-CN"/>
              </w:rPr>
              <w:t>6</w:t>
            </w:r>
            <w:r>
              <w:rPr>
                <w:rFonts w:hint="default" w:ascii="Times New Roman" w:hAnsi="Times New Roman" w:eastAsia="仿宋" w:cs="Times New Roman"/>
                <w:b/>
                <w:color w:val="auto"/>
                <w:kern w:val="0"/>
                <w:sz w:val="24"/>
              </w:rPr>
              <w:t>生态小结</w:t>
            </w:r>
          </w:p>
          <w:p>
            <w:pPr>
              <w:spacing w:line="360" w:lineRule="auto"/>
              <w:ind w:firstLine="480" w:firstLineChars="200"/>
              <w:rPr>
                <w:rFonts w:hint="default" w:ascii="Times New Roman" w:hAnsi="Times New Roman" w:eastAsia="仿宋" w:cs="Times New Roman"/>
                <w:b w:val="0"/>
                <w:bCs/>
                <w:color w:val="auto"/>
                <w:kern w:val="0"/>
                <w:sz w:val="24"/>
              </w:rPr>
            </w:pPr>
            <w:r>
              <w:rPr>
                <w:rFonts w:hint="default" w:ascii="Times New Roman" w:hAnsi="Times New Roman" w:eastAsia="仿宋" w:cs="Times New Roman"/>
                <w:b w:val="0"/>
                <w:bCs/>
                <w:color w:val="auto"/>
                <w:sz w:val="24"/>
              </w:rPr>
              <w:t>综上所述，本工程永久占地面积</w:t>
            </w:r>
            <w:r>
              <w:rPr>
                <w:rFonts w:hint="eastAsia" w:eastAsia="仿宋" w:cs="Times New Roman"/>
                <w:b w:val="0"/>
                <w:bCs/>
                <w:color w:val="auto"/>
                <w:sz w:val="24"/>
                <w:lang w:eastAsia="zh-CN"/>
              </w:rPr>
              <w:t>0.6554</w:t>
            </w:r>
            <w:r>
              <w:rPr>
                <w:rFonts w:hint="default" w:ascii="Times New Roman" w:hAnsi="Times New Roman" w:eastAsia="仿宋" w:cs="Times New Roman"/>
                <w:b w:val="0"/>
                <w:bCs/>
                <w:color w:val="auto"/>
                <w:sz w:val="24"/>
              </w:rPr>
              <w:t>hm</w:t>
            </w:r>
            <w:r>
              <w:rPr>
                <w:rFonts w:hint="default" w:ascii="Times New Roman" w:hAnsi="Times New Roman" w:eastAsia="仿宋" w:cs="Times New Roman"/>
                <w:b w:val="0"/>
                <w:bCs/>
                <w:color w:val="auto"/>
                <w:sz w:val="24"/>
                <w:vertAlign w:val="superscript"/>
              </w:rPr>
              <w:t>2</w:t>
            </w:r>
            <w:r>
              <w:rPr>
                <w:rFonts w:hint="default" w:ascii="Times New Roman" w:hAnsi="Times New Roman" w:eastAsia="仿宋" w:cs="Times New Roman"/>
                <w:b w:val="0"/>
                <w:bCs/>
                <w:color w:val="auto"/>
                <w:sz w:val="24"/>
              </w:rPr>
              <w:t>，临时占地面积</w:t>
            </w:r>
            <w:r>
              <w:rPr>
                <w:rFonts w:hint="eastAsia" w:eastAsia="仿宋" w:cs="Times New Roman"/>
                <w:b w:val="0"/>
                <w:bCs/>
                <w:color w:val="auto"/>
                <w:sz w:val="24"/>
                <w:lang w:val="en-US" w:eastAsia="zh-CN"/>
              </w:rPr>
              <w:t>11.77</w:t>
            </w:r>
            <w:r>
              <w:rPr>
                <w:rFonts w:hint="default" w:ascii="Times New Roman" w:hAnsi="Times New Roman" w:eastAsia="仿宋" w:cs="Times New Roman"/>
                <w:b w:val="0"/>
                <w:bCs/>
                <w:color w:val="auto"/>
                <w:sz w:val="24"/>
              </w:rPr>
              <w:t>hm</w:t>
            </w:r>
            <w:r>
              <w:rPr>
                <w:rFonts w:hint="default" w:ascii="Times New Roman" w:hAnsi="Times New Roman" w:eastAsia="仿宋" w:cs="Times New Roman"/>
                <w:b w:val="0"/>
                <w:bCs/>
                <w:color w:val="auto"/>
                <w:sz w:val="24"/>
                <w:vertAlign w:val="superscript"/>
              </w:rPr>
              <w:t>2</w:t>
            </w:r>
            <w:r>
              <w:rPr>
                <w:rFonts w:hint="default" w:ascii="Times New Roman" w:hAnsi="Times New Roman" w:eastAsia="仿宋" w:cs="Times New Roman"/>
                <w:b w:val="0"/>
                <w:bCs/>
                <w:color w:val="auto"/>
                <w:sz w:val="24"/>
              </w:rPr>
              <w:t>。生态影响主要体现在施工期，在采取一系列避让、减缓、补偿、恢复以及管理措施的前提下，可将施工期对生态环境影响控制在可接受范围内。对周边生态环境的影响较小。</w:t>
            </w:r>
          </w:p>
          <w:p>
            <w:pPr>
              <w:tabs>
                <w:tab w:val="left" w:pos="2880"/>
              </w:tabs>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2、环境空气影响分析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项目施工期对大气的环境影响主要体现在以下几个方面：</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施工期大气污染物主要包括：主体工程基础开挖、土石方开挖和回填等施工作业产生的扬尘；场内及对外交通运输过程中产生的扬尘；各种施工车辆和机械排放的燃料废气。大气污染物主要有NO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、CO、SO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、颗粒物等，为无组织排放。</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A土石方开挖、回填及临时堆土场扬尘</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项目升压站施工、风机塔位基础开挖及风电场内道路施工时土石方开挖、回填及堆放将会产生扬尘，呈面源无组织排放。</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B交通运输扬尘</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交通运输扬尘主要来自两方面，一方面是汽车行驶产生的扬尘；另一方面是装载土石方等多尘物料运输时，汽车在行进中如防护不当易导致物料失落和飘散，使运输道路沿线空气中的粉尘浓度增加，影响范围主要是施工区运输道路沿线。</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C燃料废气</w:t>
            </w:r>
          </w:p>
          <w:p>
            <w:pPr>
              <w:pStyle w:val="52"/>
              <w:ind w:firstLine="48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临时发电机采用柴油作为燃料，燃油烟气直接在场地内无组织排放，主要污染物有HC、SO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、NO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、碳烟，动力装置和发电机排烟口各污染物的排放浓度约为HC&lt;1800mg/m</w:t>
            </w:r>
            <w:r>
              <w:rPr>
                <w:rFonts w:hint="default" w:ascii="Times New Roman" w:hAnsi="Times New Roman" w:eastAsia="仿宋" w:cs="Times New Roman"/>
                <w:color w:val="auto"/>
                <w:szCs w:val="24"/>
                <w:vertAlign w:val="superscript"/>
              </w:rPr>
              <w:t>3</w:t>
            </w:r>
            <w:r>
              <w:rPr>
                <w:rFonts w:hint="default" w:ascii="Times New Roman" w:hAnsi="Times New Roman" w:eastAsia="仿宋" w:cs="Times New Roman"/>
                <w:color w:val="auto"/>
                <w:szCs w:val="24"/>
              </w:rPr>
              <w:t>，SO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&lt;270mg/m</w:t>
            </w:r>
            <w:r>
              <w:rPr>
                <w:rFonts w:hint="default" w:ascii="Times New Roman" w:hAnsi="Times New Roman" w:eastAsia="仿宋" w:cs="Times New Roman"/>
                <w:color w:val="auto"/>
                <w:szCs w:val="24"/>
                <w:vertAlign w:val="superscript"/>
              </w:rPr>
              <w:t>3</w:t>
            </w:r>
            <w:r>
              <w:rPr>
                <w:rFonts w:hint="default" w:ascii="Times New Roman" w:hAnsi="Times New Roman" w:eastAsia="仿宋" w:cs="Times New Roman"/>
                <w:color w:val="auto"/>
                <w:szCs w:val="24"/>
              </w:rPr>
              <w:t>，NO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&lt;2500mg/m</w:t>
            </w:r>
            <w:r>
              <w:rPr>
                <w:rFonts w:hint="default" w:ascii="Times New Roman" w:hAnsi="Times New Roman" w:eastAsia="仿宋" w:cs="Times New Roman"/>
                <w:color w:val="auto"/>
                <w:szCs w:val="24"/>
                <w:vertAlign w:val="superscript"/>
              </w:rPr>
              <w:t>3</w:t>
            </w:r>
            <w:r>
              <w:rPr>
                <w:rFonts w:hint="default" w:ascii="Times New Roman" w:hAnsi="Times New Roman" w:eastAsia="仿宋" w:cs="Times New Roman"/>
                <w:color w:val="auto"/>
                <w:szCs w:val="24"/>
              </w:rPr>
              <w:t>，碳烟&lt;250mg/m</w:t>
            </w:r>
            <w:r>
              <w:rPr>
                <w:rFonts w:hint="default" w:ascii="Times New Roman" w:hAnsi="Times New Roman" w:eastAsia="仿宋" w:cs="Times New Roman"/>
                <w:color w:val="auto"/>
                <w:szCs w:val="24"/>
                <w:vertAlign w:val="superscript"/>
              </w:rPr>
              <w:t>3</w:t>
            </w:r>
            <w:r>
              <w:rPr>
                <w:rFonts w:hint="default" w:ascii="Times New Roman" w:hAnsi="Times New Roman" w:eastAsia="仿宋" w:cs="Times New Roman"/>
                <w:color w:val="auto"/>
                <w:szCs w:val="24"/>
              </w:rPr>
              <w:t>。</w:t>
            </w:r>
          </w:p>
          <w:p>
            <w:pPr>
              <w:pStyle w:val="52"/>
              <w:ind w:firstLine="48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场地内运输汽车来往排放的污染物主要包括HC、SO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、NO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，尾气排放浓度约为HC4.4g/（L-燃料油）、SO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3.24g/（L-燃料油）、NO</w:t>
            </w:r>
            <w:r>
              <w:rPr>
                <w:rFonts w:hint="default" w:ascii="Times New Roman" w:hAnsi="Times New Roman" w:eastAsia="仿宋" w:cs="Times New Roman"/>
                <w:color w:val="auto"/>
                <w:szCs w:val="24"/>
                <w:vertAlign w:val="subscript"/>
              </w:rPr>
              <w:t>2</w:t>
            </w:r>
            <w:r>
              <w:rPr>
                <w:rFonts w:hint="default" w:ascii="Times New Roman" w:hAnsi="Times New Roman" w:eastAsia="仿宋" w:cs="Times New Roman"/>
                <w:color w:val="auto"/>
                <w:szCs w:val="24"/>
              </w:rPr>
              <w:t>44.4g/（L-燃料油）。</w:t>
            </w:r>
          </w:p>
          <w:p>
            <w:pPr>
              <w:spacing w:line="360" w:lineRule="auto"/>
              <w:ind w:left="48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（1）施工作业扬尘对环境的影响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根据工程分析，本风电场工程对空气质量的不利影响主要源自施工过程中</w:t>
            </w:r>
            <w:r>
              <w:rPr>
                <w:rStyle w:val="68"/>
                <w:rFonts w:hint="default" w:ascii="Times New Roman" w:hAnsi="Times New Roman" w:eastAsia="仿宋" w:cs="Times New Roman"/>
                <w:color w:val="auto"/>
              </w:rPr>
              <w:t>基础土石方开挖、堆放、回填和清运过程中以及建筑材料运输、装卸、堆放过程中产生扬尘</w:t>
            </w:r>
            <w:r>
              <w:rPr>
                <w:rFonts w:hint="default" w:ascii="Times New Roman" w:hAnsi="Times New Roman" w:eastAsia="仿宋" w:cs="Times New Roman"/>
                <w:color w:val="auto"/>
                <w:sz w:val="24"/>
              </w:rPr>
              <w:t>等，其中TSP污染占主导地位。</w:t>
            </w:r>
          </w:p>
          <w:p>
            <w:pPr>
              <w:spacing w:line="360" w:lineRule="auto"/>
              <w:ind w:firstLine="480"/>
              <w:rPr>
                <w:rFonts w:hint="default" w:ascii="Times New Roman" w:hAnsi="Times New Roman" w:eastAsia="仿宋" w:cs="Times New Roman"/>
                <w:color w:val="auto"/>
                <w:sz w:val="24"/>
              </w:rPr>
            </w:pPr>
            <w:bookmarkStart w:id="10" w:name="_Ref429567958"/>
            <w:bookmarkStart w:id="11" w:name="_Ref428865195"/>
            <w:r>
              <w:rPr>
                <w:rFonts w:hint="default" w:ascii="Times New Roman" w:hAnsi="Times New Roman" w:eastAsia="仿宋" w:cs="Times New Roman"/>
                <w:color w:val="auto"/>
                <w:sz w:val="24"/>
              </w:rPr>
              <w:t>据类似施工现场及周边的TSP监测，在施工现场处于良好管理水平的情况下，如施工场内经常保持湿润，空气中TSP的监测结果见表4-4，距施工场地不同距离处空气中TSP浓度值见图4-1。从监测数据可知，施工场地周边地区TSP浓度值在50m范围内呈明显下降趋势，50m范围之外，TSP浓度值变化基本稳定，约120m处可以满足《环境空气质量标准》（GB3095-2012）二级标准的要求。如采取洒水措施后，距施工现场35m外的TSP浓度值即可达到《环境空气质量标准》（GB3095-2012）二级标准的要求，洒水后TSP浓度见表4-4。</w:t>
            </w:r>
          </w:p>
          <w:p>
            <w:pPr>
              <w:spacing w:line="360" w:lineRule="auto"/>
              <w:jc w:val="center"/>
              <w:rPr>
                <w:rFonts w:hint="default" w:ascii="Times New Roman" w:hAnsi="Times New Roman" w:eastAsia="仿宋" w:cs="Times New Roman"/>
                <w:b/>
                <w:color w:val="auto"/>
                <w:szCs w:val="21"/>
                <w:vertAlign w:val="superscript"/>
                <w:lang w:val="zh-CN"/>
              </w:rPr>
            </w:pPr>
            <w:r>
              <w:rPr>
                <w:rFonts w:hint="default" w:ascii="Times New Roman" w:hAnsi="Times New Roman" w:eastAsia="仿宋" w:cs="Times New Roman"/>
                <w:b/>
                <w:color w:val="auto"/>
                <w:szCs w:val="21"/>
              </w:rPr>
              <w:t>表</w:t>
            </w:r>
            <w:bookmarkEnd w:id="10"/>
            <w:bookmarkEnd w:id="11"/>
            <w:r>
              <w:rPr>
                <w:rFonts w:hint="default" w:ascii="Times New Roman" w:hAnsi="Times New Roman" w:eastAsia="仿宋" w:cs="Times New Roman"/>
                <w:b/>
                <w:color w:val="auto"/>
                <w:szCs w:val="21"/>
              </w:rPr>
              <w:t>4-3  施工近场空气中TSP浓度变化          单位：mg/m</w:t>
            </w:r>
            <w:r>
              <w:rPr>
                <w:rFonts w:hint="default" w:ascii="Times New Roman" w:hAnsi="Times New Roman" w:eastAsia="仿宋" w:cs="Times New Roman"/>
                <w:b/>
                <w:color w:val="auto"/>
                <w:szCs w:val="21"/>
                <w:vertAlign w:val="superscript"/>
              </w:rPr>
              <w:t>3</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2767"/>
              <w:gridCol w:w="2207"/>
              <w:gridCol w:w="21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8" w:type="dxa"/>
                  <w:tcBorders>
                    <w:top w:val="single" w:color="auto" w:sz="12" w:space="0"/>
                    <w:left w:val="nil"/>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序号</w:t>
                  </w:r>
                </w:p>
              </w:tc>
              <w:tc>
                <w:tcPr>
                  <w:tcW w:w="2878" w:type="dxa"/>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距离</w:t>
                  </w:r>
                </w:p>
              </w:tc>
              <w:tc>
                <w:tcPr>
                  <w:tcW w:w="2274" w:type="dxa"/>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浓度范围</w:t>
                  </w:r>
                </w:p>
              </w:tc>
              <w:tc>
                <w:tcPr>
                  <w:tcW w:w="2274" w:type="dxa"/>
                  <w:tcBorders>
                    <w:top w:val="single" w:color="auto" w:sz="12" w:space="0"/>
                    <w:left w:val="single" w:color="auto" w:sz="6" w:space="0"/>
                    <w:bottom w:val="single" w:color="auto" w:sz="6" w:space="0"/>
                    <w:right w:val="nil"/>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浓度均值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8"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2878"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场界</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1.259～2.308</w:t>
                  </w:r>
                </w:p>
              </w:tc>
              <w:tc>
                <w:tcPr>
                  <w:tcW w:w="2274" w:type="dxa"/>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8" w:type="dxa"/>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878"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场界下风向10m</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0.458～0.592</w:t>
                  </w:r>
                </w:p>
              </w:tc>
              <w:tc>
                <w:tcPr>
                  <w:tcW w:w="2274" w:type="dxa"/>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8" w:type="dxa"/>
                  <w:tcBorders>
                    <w:top w:val="single" w:color="auto" w:sz="6" w:space="0"/>
                    <w:left w:val="nil"/>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2878"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场界下风向30m</w:t>
                  </w:r>
                </w:p>
              </w:tc>
              <w:tc>
                <w:tcPr>
                  <w:tcW w:w="2274"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0.544～0.670</w:t>
                  </w:r>
                </w:p>
              </w:tc>
              <w:tc>
                <w:tcPr>
                  <w:tcW w:w="2274" w:type="dxa"/>
                  <w:tcBorders>
                    <w:top w:val="single" w:color="auto" w:sz="6" w:space="0"/>
                    <w:left w:val="single" w:color="auto" w:sz="6" w:space="0"/>
                    <w:bottom w:val="single" w:color="auto" w:sz="12"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0.607</w:t>
                  </w:r>
                </w:p>
              </w:tc>
            </w:tr>
          </w:tbl>
          <w:p>
            <w:pPr>
              <w:spacing w:line="360" w:lineRule="auto"/>
              <w:jc w:val="center"/>
              <w:rPr>
                <w:rFonts w:hint="default" w:ascii="Times New Roman" w:hAnsi="Times New Roman" w:eastAsia="仿宋" w:cs="Times New Roman"/>
                <w:b/>
                <w:color w:val="auto"/>
                <w:szCs w:val="21"/>
                <w:vertAlign w:val="superscript"/>
                <w:lang w:val="zh-CN"/>
              </w:rPr>
            </w:pPr>
            <w:r>
              <w:rPr>
                <w:rFonts w:hint="default" w:ascii="Times New Roman" w:hAnsi="Times New Roman" w:eastAsia="仿宋" w:cs="Times New Roman"/>
                <w:b/>
                <w:color w:val="auto"/>
                <w:szCs w:val="21"/>
              </w:rPr>
              <w:t>表4-4  施工场地TSP浓度变化对比表         单位：mg/m</w:t>
            </w:r>
            <w:r>
              <w:rPr>
                <w:rFonts w:hint="default" w:ascii="Times New Roman" w:hAnsi="Times New Roman" w:eastAsia="仿宋" w:cs="Times New Roman"/>
                <w:b/>
                <w:color w:val="auto"/>
                <w:szCs w:val="21"/>
                <w:vertAlign w:val="superscript"/>
              </w:rPr>
              <w:t>3</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11"/>
              <w:gridCol w:w="2184"/>
              <w:gridCol w:w="2191"/>
              <w:gridCol w:w="21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46" w:type="dxa"/>
                  <w:gridSpan w:val="2"/>
                  <w:tcBorders>
                    <w:top w:val="single" w:color="auto" w:sz="12" w:space="0"/>
                    <w:left w:val="nil"/>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监测点位置</w:t>
                  </w:r>
                </w:p>
              </w:tc>
              <w:tc>
                <w:tcPr>
                  <w:tcW w:w="2274" w:type="dxa"/>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场地不洒水</w:t>
                  </w:r>
                </w:p>
              </w:tc>
              <w:tc>
                <w:tcPr>
                  <w:tcW w:w="2274" w:type="dxa"/>
                  <w:tcBorders>
                    <w:top w:val="single" w:color="auto" w:sz="12" w:space="0"/>
                    <w:left w:val="single" w:color="auto" w:sz="6" w:space="0"/>
                    <w:bottom w:val="single" w:color="auto" w:sz="6" w:space="0"/>
                    <w:right w:val="nil"/>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场地洒水后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73" w:type="dxa"/>
                  <w:vMerge w:val="restart"/>
                  <w:tcBorders>
                    <w:top w:val="single" w:color="auto" w:sz="6" w:space="0"/>
                    <w:left w:val="nil"/>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距场地不同距离处</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TSP的浓度值</w:t>
                  </w:r>
                </w:p>
                <w:p>
                  <w:pPr>
                    <w:jc w:val="center"/>
                    <w:rPr>
                      <w:rFonts w:hint="default" w:ascii="Times New Roman" w:hAnsi="Times New Roman" w:eastAsia="仿宋" w:cs="Times New Roman"/>
                      <w:color w:val="auto"/>
                      <w:szCs w:val="21"/>
                      <w:lang w:val="zh-CN"/>
                    </w:rPr>
                  </w:pPr>
                  <w:r>
                    <w:rPr>
                      <w:rFonts w:hint="default" w:ascii="Times New Roman" w:hAnsi="Times New Roman" w:eastAsia="仿宋" w:cs="Times New Roman"/>
                      <w:color w:val="auto"/>
                      <w:szCs w:val="21"/>
                    </w:rPr>
                    <w:t>（mg/m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22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10m</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1.75</w:t>
                  </w:r>
                </w:p>
              </w:tc>
              <w:tc>
                <w:tcPr>
                  <w:tcW w:w="2274" w:type="dxa"/>
                  <w:tcBorders>
                    <w:top w:val="single" w:color="auto" w:sz="6" w:space="0"/>
                    <w:left w:val="single" w:color="auto" w:sz="6" w:space="0"/>
                    <w:bottom w:val="single" w:color="auto" w:sz="6" w:space="0"/>
                    <w:right w:val="nil"/>
                  </w:tcBorders>
                  <w:vAlign w:val="center"/>
                </w:tcPr>
                <w:p>
                  <w:pPr>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26" w:type="dxa"/>
                  <w:vMerge w:val="continue"/>
                  <w:tcBorders>
                    <w:top w:val="single" w:color="auto" w:sz="6" w:space="0"/>
                    <w:left w:val="nil"/>
                    <w:bottom w:val="single" w:color="auto" w:sz="12" w:space="0"/>
                    <w:right w:val="single" w:color="auto" w:sz="6" w:space="0"/>
                  </w:tcBorders>
                  <w:vAlign w:val="center"/>
                </w:tcPr>
                <w:p>
                  <w:pPr>
                    <w:widowControl/>
                    <w:rPr>
                      <w:rFonts w:hint="default" w:ascii="Times New Roman" w:hAnsi="Times New Roman" w:eastAsia="仿宋" w:cs="Times New Roman"/>
                      <w:color w:val="auto"/>
                      <w:szCs w:val="21"/>
                      <w:lang w:val="zh-CN"/>
                    </w:rPr>
                  </w:pPr>
                </w:p>
              </w:tc>
              <w:tc>
                <w:tcPr>
                  <w:tcW w:w="22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20m</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1.30</w:t>
                  </w:r>
                </w:p>
              </w:tc>
              <w:tc>
                <w:tcPr>
                  <w:tcW w:w="2274" w:type="dxa"/>
                  <w:tcBorders>
                    <w:top w:val="single" w:color="auto" w:sz="6" w:space="0"/>
                    <w:left w:val="single" w:color="auto" w:sz="6" w:space="0"/>
                    <w:bottom w:val="single" w:color="auto" w:sz="6" w:space="0"/>
                    <w:right w:val="nil"/>
                  </w:tcBorders>
                  <w:vAlign w:val="center"/>
                </w:tcPr>
                <w:p>
                  <w:pPr>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26" w:type="dxa"/>
                  <w:vMerge w:val="continue"/>
                  <w:tcBorders>
                    <w:top w:val="single" w:color="auto" w:sz="6" w:space="0"/>
                    <w:left w:val="nil"/>
                    <w:bottom w:val="single" w:color="auto" w:sz="12" w:space="0"/>
                    <w:right w:val="single" w:color="auto" w:sz="6" w:space="0"/>
                  </w:tcBorders>
                  <w:vAlign w:val="center"/>
                </w:tcPr>
                <w:p>
                  <w:pPr>
                    <w:widowControl/>
                    <w:rPr>
                      <w:rFonts w:hint="default" w:ascii="Times New Roman" w:hAnsi="Times New Roman" w:eastAsia="仿宋" w:cs="Times New Roman"/>
                      <w:color w:val="auto"/>
                      <w:szCs w:val="21"/>
                      <w:lang w:val="zh-CN"/>
                    </w:rPr>
                  </w:pPr>
                </w:p>
              </w:tc>
              <w:tc>
                <w:tcPr>
                  <w:tcW w:w="22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30m</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0.78</w:t>
                  </w:r>
                </w:p>
              </w:tc>
              <w:tc>
                <w:tcPr>
                  <w:tcW w:w="2274" w:type="dxa"/>
                  <w:tcBorders>
                    <w:top w:val="single" w:color="auto" w:sz="6" w:space="0"/>
                    <w:left w:val="single" w:color="auto" w:sz="6" w:space="0"/>
                    <w:bottom w:val="single" w:color="auto" w:sz="6" w:space="0"/>
                    <w:right w:val="nil"/>
                  </w:tcBorders>
                  <w:vAlign w:val="center"/>
                </w:tcPr>
                <w:p>
                  <w:pPr>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26" w:type="dxa"/>
                  <w:vMerge w:val="continue"/>
                  <w:tcBorders>
                    <w:top w:val="single" w:color="auto" w:sz="6" w:space="0"/>
                    <w:left w:val="nil"/>
                    <w:bottom w:val="single" w:color="auto" w:sz="12" w:space="0"/>
                    <w:right w:val="single" w:color="auto" w:sz="6" w:space="0"/>
                  </w:tcBorders>
                  <w:vAlign w:val="center"/>
                </w:tcPr>
                <w:p>
                  <w:pPr>
                    <w:widowControl/>
                    <w:rPr>
                      <w:rFonts w:hint="default" w:ascii="Times New Roman" w:hAnsi="Times New Roman" w:eastAsia="仿宋" w:cs="Times New Roman"/>
                      <w:color w:val="auto"/>
                      <w:szCs w:val="21"/>
                      <w:lang w:val="zh-CN"/>
                    </w:rPr>
                  </w:pPr>
                </w:p>
              </w:tc>
              <w:tc>
                <w:tcPr>
                  <w:tcW w:w="22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40m</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0.365</w:t>
                  </w:r>
                </w:p>
              </w:tc>
              <w:tc>
                <w:tcPr>
                  <w:tcW w:w="2274" w:type="dxa"/>
                  <w:tcBorders>
                    <w:top w:val="single" w:color="auto" w:sz="6" w:space="0"/>
                    <w:left w:val="single" w:color="auto" w:sz="6" w:space="0"/>
                    <w:bottom w:val="single" w:color="auto" w:sz="6" w:space="0"/>
                    <w:right w:val="nil"/>
                  </w:tcBorders>
                  <w:vAlign w:val="center"/>
                </w:tcPr>
                <w:p>
                  <w:pPr>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26" w:type="dxa"/>
                  <w:vMerge w:val="continue"/>
                  <w:tcBorders>
                    <w:top w:val="single" w:color="auto" w:sz="6" w:space="0"/>
                    <w:left w:val="nil"/>
                    <w:bottom w:val="single" w:color="auto" w:sz="12" w:space="0"/>
                    <w:right w:val="single" w:color="auto" w:sz="6" w:space="0"/>
                  </w:tcBorders>
                  <w:vAlign w:val="center"/>
                </w:tcPr>
                <w:p>
                  <w:pPr>
                    <w:widowControl/>
                    <w:rPr>
                      <w:rFonts w:hint="default" w:ascii="Times New Roman" w:hAnsi="Times New Roman" w:eastAsia="仿宋" w:cs="Times New Roman"/>
                      <w:color w:val="auto"/>
                      <w:szCs w:val="21"/>
                      <w:lang w:val="zh-CN"/>
                    </w:rPr>
                  </w:pPr>
                </w:p>
              </w:tc>
              <w:tc>
                <w:tcPr>
                  <w:tcW w:w="22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50m</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0.345</w:t>
                  </w:r>
                </w:p>
              </w:tc>
              <w:tc>
                <w:tcPr>
                  <w:tcW w:w="2274" w:type="dxa"/>
                  <w:tcBorders>
                    <w:top w:val="single" w:color="auto" w:sz="6" w:space="0"/>
                    <w:left w:val="single" w:color="auto" w:sz="6" w:space="0"/>
                    <w:bottom w:val="single" w:color="auto" w:sz="6" w:space="0"/>
                    <w:right w:val="nil"/>
                  </w:tcBorders>
                  <w:vAlign w:val="center"/>
                </w:tcPr>
                <w:p>
                  <w:pPr>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26" w:type="dxa"/>
                  <w:vMerge w:val="continue"/>
                  <w:tcBorders>
                    <w:top w:val="single" w:color="auto" w:sz="6" w:space="0"/>
                    <w:left w:val="nil"/>
                    <w:bottom w:val="single" w:color="auto" w:sz="12" w:space="0"/>
                    <w:right w:val="single" w:color="auto" w:sz="6" w:space="0"/>
                  </w:tcBorders>
                  <w:vAlign w:val="center"/>
                </w:tcPr>
                <w:p>
                  <w:pPr>
                    <w:widowControl/>
                    <w:rPr>
                      <w:rFonts w:hint="default" w:ascii="Times New Roman" w:hAnsi="Times New Roman" w:eastAsia="仿宋" w:cs="Times New Roman"/>
                      <w:color w:val="auto"/>
                      <w:szCs w:val="21"/>
                      <w:lang w:val="zh-CN"/>
                    </w:rPr>
                  </w:pPr>
                </w:p>
              </w:tc>
              <w:tc>
                <w:tcPr>
                  <w:tcW w:w="2273"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100m</w:t>
                  </w:r>
                </w:p>
              </w:tc>
              <w:tc>
                <w:tcPr>
                  <w:tcW w:w="2274" w:type="dxa"/>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0.330</w:t>
                  </w:r>
                </w:p>
              </w:tc>
              <w:tc>
                <w:tcPr>
                  <w:tcW w:w="2274" w:type="dxa"/>
                  <w:tcBorders>
                    <w:top w:val="single" w:color="auto" w:sz="6" w:space="0"/>
                    <w:left w:val="single" w:color="auto" w:sz="6" w:space="0"/>
                    <w:bottom w:val="single" w:color="auto" w:sz="6" w:space="0"/>
                    <w:right w:val="nil"/>
                  </w:tcBorders>
                  <w:vAlign w:val="center"/>
                </w:tcPr>
                <w:p>
                  <w:pPr>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26" w:type="dxa"/>
                  <w:vMerge w:val="continue"/>
                  <w:tcBorders>
                    <w:top w:val="single" w:color="auto" w:sz="6" w:space="0"/>
                    <w:left w:val="nil"/>
                    <w:bottom w:val="single" w:color="auto" w:sz="12" w:space="0"/>
                    <w:right w:val="single" w:color="auto" w:sz="6" w:space="0"/>
                  </w:tcBorders>
                  <w:vAlign w:val="center"/>
                </w:tcPr>
                <w:p>
                  <w:pPr>
                    <w:widowControl/>
                    <w:rPr>
                      <w:rFonts w:hint="default" w:ascii="Times New Roman" w:hAnsi="Times New Roman" w:eastAsia="仿宋" w:cs="Times New Roman"/>
                      <w:color w:val="auto"/>
                      <w:szCs w:val="21"/>
                      <w:lang w:val="zh-CN"/>
                    </w:rPr>
                  </w:pPr>
                </w:p>
              </w:tc>
              <w:tc>
                <w:tcPr>
                  <w:tcW w:w="2273"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120m</w:t>
                  </w:r>
                </w:p>
              </w:tc>
              <w:tc>
                <w:tcPr>
                  <w:tcW w:w="2274" w:type="dxa"/>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&lt;0.300</w:t>
                  </w:r>
                </w:p>
              </w:tc>
              <w:tc>
                <w:tcPr>
                  <w:tcW w:w="2274" w:type="dxa"/>
                  <w:tcBorders>
                    <w:top w:val="single" w:color="auto" w:sz="6" w:space="0"/>
                    <w:left w:val="single" w:color="auto" w:sz="6" w:space="0"/>
                    <w:bottom w:val="single" w:color="auto" w:sz="12" w:space="0"/>
                    <w:right w:val="nil"/>
                  </w:tcBorders>
                  <w:vAlign w:val="center"/>
                </w:tcPr>
                <w:p>
                  <w:pPr>
                    <w:ind w:firstLine="12" w:firstLineChars="6"/>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&lt;0.300</w:t>
                  </w:r>
                </w:p>
              </w:tc>
            </w:tr>
          </w:tbl>
          <w:p>
            <w:pPr>
              <w:keepNex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drawing>
                <wp:inline distT="0" distB="0" distL="0" distR="0">
                  <wp:extent cx="5177155" cy="2430780"/>
                  <wp:effectExtent l="0" t="0" r="4445" b="7620"/>
                  <wp:docPr id="2" name="Picture 33"/>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rrowheads="1"/>
                          </pic:cNvPicPr>
                        </pic:nvPicPr>
                        <pic:blipFill>
                          <a:blip r:embed="rId26"/>
                          <a:srcRect/>
                          <a:stretch>
                            <a:fillRect/>
                          </a:stretch>
                        </pic:blipFill>
                        <pic:spPr>
                          <a:xfrm>
                            <a:off x="0" y="0"/>
                            <a:ext cx="5177155" cy="243078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b/>
                <w:color w:val="auto"/>
                <w:sz w:val="24"/>
              </w:rPr>
            </w:pPr>
            <w:bookmarkStart w:id="12" w:name="_Ref428866348"/>
            <w:r>
              <w:rPr>
                <w:rFonts w:hint="default" w:ascii="Times New Roman" w:hAnsi="Times New Roman" w:eastAsia="仿宋" w:cs="Times New Roman"/>
                <w:b/>
                <w:color w:val="auto"/>
                <w:szCs w:val="21"/>
              </w:rPr>
              <w:t>图</w:t>
            </w:r>
            <w:bookmarkEnd w:id="12"/>
            <w:r>
              <w:rPr>
                <w:rFonts w:hint="default" w:ascii="Times New Roman" w:hAnsi="Times New Roman" w:eastAsia="仿宋" w:cs="Times New Roman"/>
                <w:b/>
                <w:color w:val="auto"/>
                <w:szCs w:val="21"/>
              </w:rPr>
              <w:t>4-1  距施工场地不同距离处空气中TSP浓度值</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本工程施工产生的粉尘单位时间内排放的废气污染物数量较少，空气中的浓度很低，不会对施工区域造成明显的环境污染，其影响范围主要限于施工现场，对施工人员的身体健康会产生一些不利影响。</w:t>
            </w:r>
          </w:p>
          <w:p>
            <w:pPr>
              <w:spacing w:after="48" w:afterLines="20"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阶段扬尘的另一个主要来源是露天堆场和裸露场地的风力扬尘。由于施工需要，一些建筑材料需露天堆放，一些施工作业点表层土壤需人工开挖且临时堆放，在气候干燥又有风的情况下，会产生扬尘，其扬尘量可按堆场起尘的经验公式计算：</w:t>
            </w:r>
          </w:p>
          <w:p>
            <w:pPr>
              <w:spacing w:after="48" w:afterLines="20" w:line="360" w:lineRule="auto"/>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object>
                <v:shape id="_x0000_i1025" o:spt="75" type="#_x0000_t75" style="height:22.9pt;width:136.5pt;" o:ole="t" filled="f" o:preferrelative="t" stroked="f" coordsize="21600,21600">
                  <v:path/>
                  <v:fill on="f" focussize="0,0"/>
                  <v:stroke on="f" joinstyle="miter"/>
                  <v:imagedata r:id="rId28" o:title=""/>
                  <o:lock v:ext="edit" aspectratio="t"/>
                  <w10:wrap type="none"/>
                  <w10:anchorlock/>
                </v:shape>
                <o:OLEObject Type="Embed" ProgID="Equation.3" ShapeID="_x0000_i1025" DrawAspect="Content" ObjectID="_1468075725" r:id="rId27">
                  <o:LockedField>false</o:LockedField>
                </o:OLEObject>
              </w:object>
            </w:r>
          </w:p>
          <w:p>
            <w:pPr>
              <w:spacing w:after="48" w:afterLines="20"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式中，Q：起尘量，kg/t·a；</w:t>
            </w:r>
          </w:p>
          <w:p>
            <w:pPr>
              <w:spacing w:after="48" w:afterLines="20" w:line="360" w:lineRule="auto"/>
              <w:ind w:firstLine="1200" w:firstLineChars="5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V</w:t>
            </w:r>
            <w:r>
              <w:rPr>
                <w:rFonts w:hint="default" w:ascii="Times New Roman" w:hAnsi="Times New Roman" w:eastAsia="仿宋" w:cs="Times New Roman"/>
                <w:color w:val="auto"/>
                <w:sz w:val="24"/>
                <w:vertAlign w:val="subscript"/>
              </w:rPr>
              <w:t>50</w:t>
            </w:r>
            <w:r>
              <w:rPr>
                <w:rFonts w:hint="default" w:ascii="Times New Roman" w:hAnsi="Times New Roman" w:eastAsia="仿宋" w:cs="Times New Roman"/>
                <w:color w:val="auto"/>
                <w:sz w:val="24"/>
              </w:rPr>
              <w:t>：距地面50m处风速，m/s；</w:t>
            </w:r>
          </w:p>
          <w:p>
            <w:pPr>
              <w:spacing w:after="48" w:afterLines="20" w:line="360" w:lineRule="auto"/>
              <w:ind w:firstLine="1200" w:firstLineChars="5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V</w:t>
            </w:r>
            <w:r>
              <w:rPr>
                <w:rFonts w:hint="default" w:ascii="Times New Roman" w:hAnsi="Times New Roman" w:eastAsia="仿宋" w:cs="Times New Roman"/>
                <w:color w:val="auto"/>
                <w:sz w:val="24"/>
                <w:vertAlign w:val="subscript"/>
              </w:rPr>
              <w:t>0</w:t>
            </w:r>
            <w:r>
              <w:rPr>
                <w:rFonts w:hint="default" w:ascii="Times New Roman" w:hAnsi="Times New Roman" w:eastAsia="仿宋" w:cs="Times New Roman"/>
                <w:color w:val="auto"/>
                <w:sz w:val="24"/>
              </w:rPr>
              <w:t>：起尘风速，m/s；</w:t>
            </w:r>
          </w:p>
          <w:p>
            <w:pPr>
              <w:spacing w:after="48" w:afterLines="20" w:line="360" w:lineRule="auto"/>
              <w:ind w:firstLine="1200" w:firstLineChars="5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W：尘粒的含水率，%。</w:t>
            </w:r>
          </w:p>
          <w:p>
            <w:pPr>
              <w:spacing w:after="48" w:afterLines="20"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见表4-5。</w:t>
            </w:r>
          </w:p>
          <w:p>
            <w:pPr>
              <w:spacing w:line="36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表4-5  不同粒径尘粒的沉降速度一览表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026"/>
              <w:gridCol w:w="1085"/>
              <w:gridCol w:w="1085"/>
              <w:gridCol w:w="971"/>
              <w:gridCol w:w="946"/>
              <w:gridCol w:w="825"/>
              <w:gridCol w:w="929"/>
              <w:gridCol w:w="9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54" w:type="pct"/>
                  <w:tcBorders>
                    <w:top w:val="single" w:color="auto" w:sz="12"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粉尘粒径(</w:t>
                  </w:r>
                  <w:r>
                    <w:rPr>
                      <w:rFonts w:hint="default" w:ascii="Times New Roman" w:hAnsi="Times New Roman" w:eastAsia="仿宋" w:cs="Times New Roman"/>
                      <w:color w:val="auto"/>
                      <w:szCs w:val="21"/>
                    </w:rPr>
                    <w:sym w:font="Symbol" w:char="006D"/>
                  </w:r>
                  <w:r>
                    <w:rPr>
                      <w:rFonts w:hint="default" w:ascii="Times New Roman" w:hAnsi="Times New Roman" w:eastAsia="仿宋" w:cs="Times New Roman"/>
                      <w:color w:val="auto"/>
                      <w:szCs w:val="21"/>
                    </w:rPr>
                    <w:t>m)</w:t>
                  </w:r>
                </w:p>
              </w:tc>
              <w:tc>
                <w:tcPr>
                  <w:tcW w:w="618" w:type="pct"/>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w:t>
                  </w:r>
                </w:p>
              </w:tc>
              <w:tc>
                <w:tcPr>
                  <w:tcW w:w="618" w:type="pct"/>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w:t>
                  </w:r>
                </w:p>
              </w:tc>
              <w:tc>
                <w:tcPr>
                  <w:tcW w:w="553" w:type="pct"/>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w:t>
                  </w:r>
                </w:p>
              </w:tc>
              <w:tc>
                <w:tcPr>
                  <w:tcW w:w="539" w:type="pct"/>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470" w:type="pct"/>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w:t>
                  </w:r>
                </w:p>
              </w:tc>
              <w:tc>
                <w:tcPr>
                  <w:tcW w:w="529" w:type="pct"/>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w:t>
                  </w:r>
                </w:p>
              </w:tc>
              <w:tc>
                <w:tcPr>
                  <w:tcW w:w="520" w:type="pct"/>
                  <w:tcBorders>
                    <w:top w:val="single" w:color="auto" w:sz="12"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54"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沉降速度(m/s)</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0.003</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0.012</w:t>
                  </w:r>
                </w:p>
              </w:tc>
              <w:tc>
                <w:tcPr>
                  <w:tcW w:w="55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0.027</w:t>
                  </w:r>
                </w:p>
              </w:tc>
              <w:tc>
                <w:tcPr>
                  <w:tcW w:w="53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0.048</w:t>
                  </w:r>
                </w:p>
              </w:tc>
              <w:tc>
                <w:tcPr>
                  <w:tcW w:w="470"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0.075</w:t>
                  </w:r>
                </w:p>
              </w:tc>
              <w:tc>
                <w:tcPr>
                  <w:tcW w:w="5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0.108</w:t>
                  </w:r>
                </w:p>
              </w:tc>
              <w:tc>
                <w:tcPr>
                  <w:tcW w:w="520"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54"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粉尘粒径(</w:t>
                  </w:r>
                  <w:r>
                    <w:rPr>
                      <w:rFonts w:hint="default" w:ascii="Times New Roman" w:hAnsi="Times New Roman" w:eastAsia="仿宋" w:cs="Times New Roman"/>
                      <w:color w:val="auto"/>
                      <w:szCs w:val="21"/>
                    </w:rPr>
                    <w:sym w:font="Symbol" w:char="006D"/>
                  </w:r>
                  <w:r>
                    <w:rPr>
                      <w:rFonts w:hint="default" w:ascii="Times New Roman" w:hAnsi="Times New Roman" w:eastAsia="仿宋" w:cs="Times New Roman"/>
                      <w:color w:val="auto"/>
                      <w:szCs w:val="21"/>
                    </w:rPr>
                    <w:t>m)</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w:t>
                  </w:r>
                </w:p>
              </w:tc>
              <w:tc>
                <w:tcPr>
                  <w:tcW w:w="55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53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470"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200</w:t>
                  </w:r>
                </w:p>
              </w:tc>
              <w:tc>
                <w:tcPr>
                  <w:tcW w:w="5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250</w:t>
                  </w:r>
                </w:p>
              </w:tc>
              <w:tc>
                <w:tcPr>
                  <w:tcW w:w="520"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54"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沉降速度(m/s)</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0.158</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0.170</w:t>
                  </w:r>
                </w:p>
              </w:tc>
              <w:tc>
                <w:tcPr>
                  <w:tcW w:w="55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0.182</w:t>
                  </w:r>
                </w:p>
              </w:tc>
              <w:tc>
                <w:tcPr>
                  <w:tcW w:w="53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0.239</w:t>
                  </w:r>
                </w:p>
              </w:tc>
              <w:tc>
                <w:tcPr>
                  <w:tcW w:w="470"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0.804</w:t>
                  </w:r>
                </w:p>
              </w:tc>
              <w:tc>
                <w:tcPr>
                  <w:tcW w:w="5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1.005</w:t>
                  </w:r>
                </w:p>
              </w:tc>
              <w:tc>
                <w:tcPr>
                  <w:tcW w:w="520"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54"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粉尘粒径(</w:t>
                  </w:r>
                  <w:r>
                    <w:rPr>
                      <w:rFonts w:hint="default" w:ascii="Times New Roman" w:hAnsi="Times New Roman" w:eastAsia="仿宋" w:cs="Times New Roman"/>
                      <w:color w:val="auto"/>
                      <w:szCs w:val="21"/>
                    </w:rPr>
                    <w:sym w:font="Symbol" w:char="006D"/>
                  </w:r>
                  <w:r>
                    <w:rPr>
                      <w:rFonts w:hint="default" w:ascii="Times New Roman" w:hAnsi="Times New Roman" w:eastAsia="仿宋" w:cs="Times New Roman"/>
                      <w:color w:val="auto"/>
                      <w:szCs w:val="21"/>
                    </w:rPr>
                    <w:t>m)</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450</w:t>
                  </w:r>
                </w:p>
              </w:tc>
              <w:tc>
                <w:tcPr>
                  <w:tcW w:w="618"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550</w:t>
                  </w:r>
                </w:p>
              </w:tc>
              <w:tc>
                <w:tcPr>
                  <w:tcW w:w="553"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650</w:t>
                  </w:r>
                </w:p>
              </w:tc>
              <w:tc>
                <w:tcPr>
                  <w:tcW w:w="53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750</w:t>
                  </w:r>
                </w:p>
              </w:tc>
              <w:tc>
                <w:tcPr>
                  <w:tcW w:w="470"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850</w:t>
                  </w:r>
                </w:p>
              </w:tc>
              <w:tc>
                <w:tcPr>
                  <w:tcW w:w="5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950</w:t>
                  </w:r>
                </w:p>
              </w:tc>
              <w:tc>
                <w:tcPr>
                  <w:tcW w:w="520"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154" w:type="pct"/>
                  <w:tcBorders>
                    <w:top w:val="single" w:color="auto" w:sz="6" w:space="0"/>
                    <w:left w:val="nil"/>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沉降速度(m/s)</w:t>
                  </w:r>
                </w:p>
              </w:tc>
              <w:tc>
                <w:tcPr>
                  <w:tcW w:w="618"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2.211</w:t>
                  </w:r>
                </w:p>
              </w:tc>
              <w:tc>
                <w:tcPr>
                  <w:tcW w:w="618"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2.614</w:t>
                  </w:r>
                </w:p>
              </w:tc>
              <w:tc>
                <w:tcPr>
                  <w:tcW w:w="553"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3.016</w:t>
                  </w:r>
                </w:p>
              </w:tc>
              <w:tc>
                <w:tcPr>
                  <w:tcW w:w="53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3.418</w:t>
                  </w:r>
                </w:p>
              </w:tc>
              <w:tc>
                <w:tcPr>
                  <w:tcW w:w="470"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3.820</w:t>
                  </w:r>
                </w:p>
              </w:tc>
              <w:tc>
                <w:tcPr>
                  <w:tcW w:w="5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4.222</w:t>
                  </w:r>
                </w:p>
              </w:tc>
              <w:tc>
                <w:tcPr>
                  <w:tcW w:w="520" w:type="pct"/>
                  <w:tcBorders>
                    <w:top w:val="single" w:color="auto" w:sz="6" w:space="0"/>
                    <w:left w:val="single" w:color="auto" w:sz="6" w:space="0"/>
                    <w:bottom w:val="single" w:color="auto" w:sz="12"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4.624</w:t>
                  </w:r>
                </w:p>
              </w:tc>
            </w:tr>
          </w:tbl>
          <w:p>
            <w:pPr>
              <w:spacing w:after="48" w:afterLines="20"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由表可知，粉尘的沉降速度随粒径的增大而迅速增大。当粒径为250</w:t>
            </w:r>
            <w:r>
              <w:rPr>
                <w:rFonts w:hint="default" w:ascii="Times New Roman" w:hAnsi="Times New Roman" w:eastAsia="仿宋" w:cs="Times New Roman"/>
                <w:color w:val="auto"/>
                <w:sz w:val="24"/>
              </w:rPr>
              <w:sym w:font="Symbol" w:char="006D"/>
            </w:r>
            <w:r>
              <w:rPr>
                <w:rFonts w:hint="default" w:ascii="Times New Roman" w:hAnsi="Times New Roman" w:eastAsia="仿宋" w:cs="Times New Roman"/>
                <w:color w:val="auto"/>
                <w:sz w:val="24"/>
              </w:rPr>
              <w:t>m时，沉降速度为1.005m/s，因此可以认为当尘粒大于250</w:t>
            </w:r>
            <w:r>
              <w:rPr>
                <w:rFonts w:hint="default" w:ascii="Times New Roman" w:hAnsi="Times New Roman" w:eastAsia="仿宋" w:cs="Times New Roman"/>
                <w:color w:val="auto"/>
                <w:sz w:val="24"/>
              </w:rPr>
              <w:sym w:font="Symbol" w:char="006D"/>
            </w:r>
            <w:r>
              <w:rPr>
                <w:rFonts w:hint="default" w:ascii="Times New Roman" w:hAnsi="Times New Roman" w:eastAsia="仿宋" w:cs="Times New Roman"/>
                <w:color w:val="auto"/>
                <w:sz w:val="24"/>
              </w:rPr>
              <w:t>m时，主要影响范围在扬尘点下风向近距离范围（50m）内，而真正对外环境产生影响的是一些微小粒径的粉尘。</w:t>
            </w:r>
          </w:p>
          <w:p>
            <w:pPr>
              <w:spacing w:line="360" w:lineRule="auto"/>
              <w:ind w:left="482"/>
              <w:rPr>
                <w:rFonts w:hint="default" w:ascii="Times New Roman" w:hAnsi="Times New Roman" w:eastAsia="仿宋" w:cs="Times New Roman"/>
                <w:b/>
                <w:color w:val="auto"/>
                <w:sz w:val="24"/>
              </w:rPr>
            </w:pPr>
            <w:bookmarkStart w:id="13" w:name="_Toc436895556"/>
            <w:r>
              <w:rPr>
                <w:rFonts w:hint="default" w:ascii="Times New Roman" w:hAnsi="Times New Roman" w:eastAsia="仿宋" w:cs="Times New Roman"/>
                <w:b/>
                <w:color w:val="auto"/>
                <w:sz w:val="24"/>
              </w:rPr>
              <w:t>（2）交通运输扬尘</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根据其它同类工程的监测资料，土方运输车辆产生的扬尘在下风向50m处的落地浓度为11.63mg/m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左右，在下风向100m处的落地浓度为9.69mg/m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左右，在下风向150m处的落地浓度为5.09mg/m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左右。交通运输扬尘为无组织排放。</w:t>
            </w:r>
          </w:p>
          <w:p>
            <w:pPr>
              <w:spacing w:line="360" w:lineRule="auto"/>
              <w:ind w:left="48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（3）燃料废气污染分析</w:t>
            </w:r>
            <w:bookmarkEnd w:id="13"/>
          </w:p>
          <w:p>
            <w:pPr>
              <w:spacing w:after="48" w:afterLines="20"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道路施工机械主要有载重车、压路机、起重机、柴油动力机械等燃油机械，它们排放的污染物主要有CO、NO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、THC。由于施工机械多为大型机械，单车排放系数较大，但施工机械数量少且较分散，其污染程度相对较轻。</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工程施工产生的粉尘和燃油废气单位时间内排放的废气污染物数量较少，空气中的浓度很低，不会对施工区域造成明显的环境污染，其影响范围主要限于施工现场，对施工人员的身体健康会产生一些不利影响。道路改建及材料运输产生的粉尘将会对沿线居民产生不利影响。</w:t>
            </w:r>
          </w:p>
          <w:p>
            <w:pPr>
              <w:pStyle w:val="52"/>
              <w:ind w:firstLine="482"/>
              <w:rPr>
                <w:rFonts w:hint="default" w:ascii="Times New Roman" w:hAnsi="Times New Roman" w:eastAsia="仿宋" w:cs="Times New Roman"/>
                <w:b w:val="0"/>
                <w:bCs/>
                <w:color w:val="auto"/>
                <w:szCs w:val="24"/>
              </w:rPr>
            </w:pPr>
            <w:r>
              <w:rPr>
                <w:rFonts w:hint="default" w:ascii="Times New Roman" w:hAnsi="Times New Roman" w:eastAsia="仿宋" w:cs="Times New Roman"/>
                <w:b w:val="0"/>
                <w:bCs/>
                <w:color w:val="auto"/>
                <w:szCs w:val="24"/>
              </w:rPr>
              <w:t>综上所述，施工期废气主要包括基础土石方开挖、爆破、堆放、回填和清运过程中，以及建筑材料（水泥、白灰、砂子等）运输、装卸、堆放扬尘以及燃料废气，经：a洒水保持作业面湿度；b减速慢行，对运行土石方车辆洒水、篷布遮盖；c采用合格燃料等措施后，其影响范围一般可控制在施工场地周边地带，无组织监控浓度可满足《大气污染物综合排放标准》（GB16297-1996）排放要求。</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3、水环境影响分析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项目施工期废水主要分为生产废水与生活污水。</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施工生产废水主要为机械修配废水及施工机械冲洗废水，污染物主要有SS和石油类等，用水量约为</w:t>
            </w:r>
            <w:r>
              <w:rPr>
                <w:rFonts w:hint="eastAsia" w:eastAsia="仿宋" w:cs="Times New Roman"/>
                <w:color w:val="auto"/>
                <w:sz w:val="24"/>
                <w:lang w:val="en-US" w:eastAsia="zh-CN"/>
              </w:rPr>
              <w:t>2</w:t>
            </w:r>
            <w:r>
              <w:rPr>
                <w:rFonts w:hint="default" w:ascii="Times New Roman" w:hAnsi="Times New Roman" w:eastAsia="仿宋" w:cs="Times New Roman"/>
                <w:color w:val="auto"/>
                <w:sz w:val="24"/>
              </w:rPr>
              <w:t>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/d，废水产生量约为用水量的90%，即</w:t>
            </w:r>
            <w:r>
              <w:rPr>
                <w:rFonts w:hint="eastAsia" w:eastAsia="仿宋" w:cs="Times New Roman"/>
                <w:color w:val="auto"/>
                <w:sz w:val="24"/>
                <w:lang w:val="en-US" w:eastAsia="zh-CN"/>
              </w:rPr>
              <w:t>1.8</w:t>
            </w:r>
            <w:r>
              <w:rPr>
                <w:rFonts w:hint="default" w:ascii="Times New Roman" w:hAnsi="Times New Roman" w:eastAsia="仿宋" w:cs="Times New Roman"/>
                <w:color w:val="auto"/>
                <w:sz w:val="24"/>
              </w:rPr>
              <w:t>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/d。施工废水中的主要污染物为SS（1000~2000）mg/L及石油类（5~10）mg/L。</w:t>
            </w:r>
          </w:p>
          <w:p>
            <w:pPr>
              <w:adjustRightInd w:val="0"/>
              <w:spacing w:line="360" w:lineRule="auto"/>
              <w:ind w:firstLine="470" w:firstLineChars="196"/>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施工期间，施工人员居住在施工营地中，施工人员生活污水经化粪池处理后，定期交由村民用于土地施肥，对周边水环境影响较小。</w:t>
            </w:r>
          </w:p>
          <w:p>
            <w:pPr>
              <w:adjustRightInd w:val="0"/>
              <w:spacing w:line="360" w:lineRule="auto"/>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kern w:val="0"/>
                <w:sz w:val="24"/>
              </w:rPr>
              <w:t>施工期废水废水产生量较小，通过采取生产废水经隔油池处理后回用以及生活污水经化粪池处理后用作农肥等措施后，施工期废水不会汇入</w:t>
            </w:r>
            <w:r>
              <w:rPr>
                <w:rFonts w:hint="eastAsia" w:eastAsia="仿宋" w:cs="Times New Roman"/>
                <w:color w:val="auto"/>
                <w:kern w:val="0"/>
                <w:sz w:val="24"/>
                <w:lang w:val="en-US" w:eastAsia="zh-CN"/>
              </w:rPr>
              <w:t>当地地表水体</w:t>
            </w:r>
            <w:r>
              <w:rPr>
                <w:rFonts w:hint="default" w:ascii="Times New Roman" w:hAnsi="Times New Roman" w:eastAsia="仿宋" w:cs="Times New Roman"/>
                <w:color w:val="auto"/>
                <w:kern w:val="0"/>
                <w:sz w:val="24"/>
              </w:rPr>
              <w:t>，施工废水对其影响较小。</w:t>
            </w:r>
          </w:p>
          <w:p>
            <w:pPr>
              <w:pStyle w:val="52"/>
              <w:ind w:firstLine="482"/>
              <w:rPr>
                <w:rFonts w:hint="default" w:ascii="Times New Roman" w:hAnsi="Times New Roman" w:eastAsia="仿宋" w:cs="Times New Roman"/>
                <w:color w:val="auto"/>
                <w:szCs w:val="24"/>
              </w:rPr>
            </w:pPr>
            <w:r>
              <w:rPr>
                <w:rFonts w:hint="default" w:ascii="Times New Roman" w:hAnsi="Times New Roman" w:eastAsia="仿宋" w:cs="Times New Roman"/>
                <w:b w:val="0"/>
                <w:bCs/>
                <w:color w:val="auto"/>
                <w:szCs w:val="24"/>
              </w:rPr>
              <w:t>综上所述，施工废水经沉淀池处理后循环利用作为混凝土拌和站冲洗水。</w:t>
            </w:r>
            <w:r>
              <w:rPr>
                <w:rFonts w:hint="eastAsia" w:eastAsia="仿宋" w:cs="Times New Roman"/>
                <w:color w:val="auto"/>
                <w:sz w:val="24"/>
                <w:lang w:val="en-US" w:eastAsia="zh-CN"/>
              </w:rPr>
              <w:t>施工人员生活污水经化粪池处理后，定期交由村民用于土地施肥</w:t>
            </w:r>
            <w:r>
              <w:rPr>
                <w:rFonts w:hint="default" w:ascii="Times New Roman" w:hAnsi="Times New Roman" w:eastAsia="仿宋" w:cs="Times New Roman"/>
                <w:b w:val="0"/>
                <w:bCs/>
                <w:color w:val="auto"/>
                <w:szCs w:val="24"/>
              </w:rPr>
              <w:t>。经以上处理和利用后，施工期废水对周边环境影响不大。工程距离</w:t>
            </w:r>
            <w:r>
              <w:rPr>
                <w:rFonts w:hint="eastAsia" w:eastAsia="仿宋" w:cs="Times New Roman"/>
                <w:b w:val="0"/>
                <w:bCs/>
                <w:color w:val="auto"/>
                <w:szCs w:val="24"/>
                <w:lang w:val="en-US" w:eastAsia="zh-CN"/>
              </w:rPr>
              <w:t>地表水体较远</w:t>
            </w:r>
            <w:r>
              <w:rPr>
                <w:rFonts w:hint="default" w:ascii="Times New Roman" w:hAnsi="Times New Roman" w:eastAsia="仿宋" w:cs="Times New Roman"/>
                <w:b w:val="0"/>
                <w:bCs/>
                <w:color w:val="auto"/>
                <w:szCs w:val="24"/>
              </w:rPr>
              <w:t>，对</w:t>
            </w:r>
            <w:r>
              <w:rPr>
                <w:rFonts w:hint="eastAsia" w:eastAsia="仿宋" w:cs="Times New Roman"/>
                <w:b w:val="0"/>
                <w:bCs/>
                <w:color w:val="auto"/>
                <w:szCs w:val="24"/>
                <w:lang w:val="en-US" w:eastAsia="zh-CN"/>
              </w:rPr>
              <w:t>其</w:t>
            </w:r>
            <w:r>
              <w:rPr>
                <w:rFonts w:hint="default" w:ascii="Times New Roman" w:hAnsi="Times New Roman" w:eastAsia="仿宋" w:cs="Times New Roman"/>
                <w:b w:val="0"/>
                <w:bCs/>
                <w:color w:val="auto"/>
                <w:szCs w:val="24"/>
              </w:rPr>
              <w:t>的影响概率很低。因此，在采取水环境保护措施后，本工程施工期对周边水环境的影响较小。</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4、声环境影响分析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项目施工期噪声主要为各种施工机械设备所产生的噪声和车辆行驶产生的噪声，主要噪声源为挖掘机、装载机、混凝土泵、汽车等，主要噪声源源强见表4-6。</w:t>
            </w:r>
          </w:p>
          <w:p>
            <w:pPr>
              <w:pStyle w:val="7"/>
              <w:spacing w:line="360" w:lineRule="auto"/>
              <w:jc w:val="center"/>
              <w:rPr>
                <w:rFonts w:hint="default" w:ascii="Times New Roman" w:hAnsi="Times New Roman" w:eastAsia="仿宋" w:cs="Times New Roman"/>
                <w:b/>
                <w:color w:val="auto"/>
                <w:sz w:val="21"/>
                <w:szCs w:val="21"/>
                <w:lang w:val="en-US"/>
              </w:rPr>
            </w:pPr>
            <w:r>
              <w:rPr>
                <w:rFonts w:hint="default" w:ascii="Times New Roman" w:hAnsi="Times New Roman" w:eastAsia="仿宋" w:cs="Times New Roman"/>
                <w:b/>
                <w:color w:val="auto"/>
                <w:sz w:val="21"/>
                <w:szCs w:val="21"/>
                <w:lang w:val="en-US"/>
              </w:rPr>
              <w:t>表4-6  主要施工机械噪声源强表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3792"/>
              <w:gridCol w:w="3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12"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b/>
                      <w:snapToGrid w:val="0"/>
                      <w:color w:val="auto"/>
                      <w:lang w:val="en-US"/>
                    </w:rPr>
                  </w:pPr>
                  <w:r>
                    <w:rPr>
                      <w:rFonts w:hint="default" w:ascii="Times New Roman" w:hAnsi="Times New Roman" w:eastAsia="仿宋" w:cs="Times New Roman"/>
                      <w:b/>
                      <w:snapToGrid w:val="0"/>
                      <w:color w:val="auto"/>
                      <w:lang w:val="en-US"/>
                    </w:rPr>
                    <w:t>序号</w:t>
                  </w:r>
                </w:p>
              </w:tc>
              <w:tc>
                <w:tcPr>
                  <w:tcW w:w="2160" w:type="pct"/>
                  <w:tcBorders>
                    <w:top w:val="single" w:color="auto" w:sz="12" w:space="0"/>
                    <w:left w:val="single" w:color="auto" w:sz="4" w:space="0"/>
                    <w:bottom w:val="single" w:color="auto" w:sz="4" w:space="0"/>
                    <w:right w:val="single" w:color="auto" w:sz="4" w:space="0"/>
                  </w:tcBorders>
                  <w:noWrap/>
                  <w:vAlign w:val="center"/>
                </w:tcPr>
                <w:p>
                  <w:pPr>
                    <w:pStyle w:val="67"/>
                    <w:rPr>
                      <w:rFonts w:hint="default" w:ascii="Times New Roman" w:hAnsi="Times New Roman" w:eastAsia="仿宋" w:cs="Times New Roman"/>
                      <w:b/>
                      <w:snapToGrid w:val="0"/>
                      <w:color w:val="auto"/>
                      <w:lang w:val="en-US"/>
                    </w:rPr>
                  </w:pPr>
                  <w:r>
                    <w:rPr>
                      <w:rFonts w:hint="default" w:ascii="Times New Roman" w:hAnsi="Times New Roman" w:eastAsia="仿宋" w:cs="Times New Roman"/>
                      <w:b/>
                      <w:snapToGrid w:val="0"/>
                      <w:color w:val="auto"/>
                      <w:lang w:val="en-US"/>
                    </w:rPr>
                    <w:t>机械设备名称</w:t>
                  </w:r>
                </w:p>
              </w:tc>
              <w:tc>
                <w:tcPr>
                  <w:tcW w:w="1945" w:type="pct"/>
                  <w:tcBorders>
                    <w:top w:val="single" w:color="auto" w:sz="12" w:space="0"/>
                    <w:left w:val="single" w:color="auto" w:sz="4" w:space="0"/>
                    <w:bottom w:val="single" w:color="auto" w:sz="4" w:space="0"/>
                    <w:right w:val="nil"/>
                  </w:tcBorders>
                  <w:vAlign w:val="center"/>
                </w:tcPr>
                <w:p>
                  <w:pPr>
                    <w:pStyle w:val="67"/>
                    <w:rPr>
                      <w:rFonts w:hint="default" w:ascii="Times New Roman" w:hAnsi="Times New Roman" w:eastAsia="仿宋" w:cs="Times New Roman"/>
                      <w:b/>
                      <w:snapToGrid w:val="0"/>
                      <w:color w:val="auto"/>
                      <w:lang w:val="en-US"/>
                    </w:rPr>
                  </w:pPr>
                  <w:r>
                    <w:rPr>
                      <w:rFonts w:hint="default" w:ascii="Times New Roman" w:hAnsi="Times New Roman" w:eastAsia="仿宋" w:cs="Times New Roman"/>
                      <w:b/>
                      <w:snapToGrid w:val="0"/>
                      <w:color w:val="auto"/>
                      <w:lang w:val="en-US"/>
                    </w:rPr>
                    <w:t>距离声源5m处源强（dB(A)）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履带吊（1000t）</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2</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汽车式起重机（260t）</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3</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气腿式手风钻</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4</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挖掘机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5</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装载机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6</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推土机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7</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压路机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1"/>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振动碾压机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手扶式振动碾压机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10</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牵引式斜坡振动碾</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11</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插入式振捣器</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12</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自卸汽车</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13</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载重汽车</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14</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水车</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15</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洒水车</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16</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移动式柴油发电机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17</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潜水泵</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18</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平板运输车</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19</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移动式空压机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20</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钢筋调直机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4"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21</w:t>
                  </w:r>
                </w:p>
              </w:tc>
              <w:tc>
                <w:tcPr>
                  <w:tcW w:w="2160" w:type="pct"/>
                  <w:tcBorders>
                    <w:top w:val="single" w:color="auto" w:sz="4" w:space="0"/>
                    <w:left w:val="single" w:color="auto" w:sz="4" w:space="0"/>
                    <w:bottom w:val="single" w:color="auto" w:sz="4"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钢筋切断机</w:t>
                  </w:r>
                </w:p>
              </w:tc>
              <w:tc>
                <w:tcPr>
                  <w:tcW w:w="1945" w:type="pct"/>
                  <w:tcBorders>
                    <w:top w:val="single" w:color="auto" w:sz="4" w:space="0"/>
                    <w:left w:val="single" w:color="auto" w:sz="4" w:space="0"/>
                    <w:bottom w:val="single" w:color="auto" w:sz="4"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tcBorders>
                    <w:top w:val="single" w:color="auto" w:sz="4" w:space="0"/>
                    <w:left w:val="nil"/>
                    <w:bottom w:val="single" w:color="auto" w:sz="12" w:space="0"/>
                    <w:right w:val="single" w:color="auto" w:sz="4" w:space="0"/>
                  </w:tcBorders>
                  <w:noWrap/>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22</w:t>
                  </w:r>
                </w:p>
              </w:tc>
              <w:tc>
                <w:tcPr>
                  <w:tcW w:w="2160" w:type="pct"/>
                  <w:tcBorders>
                    <w:top w:val="single" w:color="auto" w:sz="4" w:space="0"/>
                    <w:left w:val="single" w:color="auto" w:sz="4" w:space="0"/>
                    <w:bottom w:val="single" w:color="auto" w:sz="12" w:space="0"/>
                    <w:right w:val="single" w:color="auto" w:sz="4" w:space="0"/>
                  </w:tcBorders>
                  <w:noWrap/>
                  <w:vAlign w:val="center"/>
                </w:tcPr>
                <w:p>
                  <w:pPr>
                    <w:pStyle w:val="65"/>
                    <w:kinsoku w:val="0"/>
                    <w:overflowPunct w:val="0"/>
                    <w:spacing w:before="14"/>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钢筋弯曲机</w:t>
                  </w:r>
                </w:p>
              </w:tc>
              <w:tc>
                <w:tcPr>
                  <w:tcW w:w="1945" w:type="pct"/>
                  <w:tcBorders>
                    <w:top w:val="single" w:color="auto" w:sz="4" w:space="0"/>
                    <w:left w:val="single" w:color="auto" w:sz="4" w:space="0"/>
                    <w:bottom w:val="single" w:color="auto" w:sz="12" w:space="0"/>
                    <w:right w:val="nil"/>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r>
          </w:tbl>
          <w:p>
            <w:pPr>
              <w:adjustRightIn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施工期噪声包括固定机械施工产生的固定噪声源及各种运输车辆产生的流动噪声源，具有短期性、暂时性的特点。施工期结束后，施工噪声对周围环境的影响也将随之结束。</w:t>
            </w:r>
          </w:p>
          <w:p>
            <w:pPr>
              <w:adjustRightIn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（1）固定噪声源影响</w:t>
            </w:r>
          </w:p>
          <w:p>
            <w:pPr>
              <w:overflowPunct w:val="0"/>
              <w:topLinePunct/>
              <w:spacing w:line="360" w:lineRule="auto"/>
              <w:ind w:firstLine="480" w:firstLineChars="200"/>
              <w:textAlignment w:val="baseline"/>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施工期固定源强噪声源主要施工机械设备，根据《环境影响评价技术导则 声环境》（</w:t>
            </w:r>
            <w:r>
              <w:rPr>
                <w:rFonts w:hint="eastAsia" w:eastAsia="仿宋" w:cs="Times New Roman"/>
                <w:color w:val="auto"/>
                <w:sz w:val="24"/>
                <w:lang w:eastAsia="zh-CN"/>
              </w:rPr>
              <w:t>HJ 2.4-2021</w:t>
            </w:r>
            <w:r>
              <w:rPr>
                <w:rFonts w:hint="default" w:ascii="Times New Roman" w:hAnsi="Times New Roman" w:eastAsia="仿宋" w:cs="Times New Roman"/>
                <w:color w:val="auto"/>
                <w:sz w:val="24"/>
              </w:rPr>
              <w:t>），采用无指向性点声源几何发散衰减公式预测固定噪声源影响：</w:t>
            </w:r>
          </w:p>
          <w:p>
            <w:pPr>
              <w:pStyle w:val="19"/>
              <w:spacing w:after="0" w:line="360" w:lineRule="auto"/>
              <w:ind w:firstLine="240"/>
              <w:jc w:val="center"/>
              <w:rPr>
                <w:rFonts w:hint="default" w:ascii="Times New Roman" w:hAnsi="Times New Roman" w:eastAsia="仿宋" w:cs="Times New Roman"/>
                <w:color w:val="auto"/>
                <w:sz w:val="24"/>
                <w:lang w:val="da-DK"/>
              </w:rPr>
            </w:pPr>
            <w:r>
              <w:rPr>
                <w:rFonts w:hint="default" w:ascii="Times New Roman" w:hAnsi="Times New Roman" w:eastAsia="仿宋" w:cs="Times New Roman"/>
                <w:color w:val="auto"/>
                <w:sz w:val="24"/>
                <w:lang w:val="da-DK"/>
              </w:rPr>
              <w:t>L</w:t>
            </w:r>
            <w:r>
              <w:rPr>
                <w:rFonts w:hint="default" w:ascii="Times New Roman" w:hAnsi="Times New Roman" w:eastAsia="仿宋" w:cs="Times New Roman"/>
                <w:color w:val="auto"/>
                <w:sz w:val="24"/>
                <w:vertAlign w:val="subscript"/>
                <w:lang w:val="da-DK"/>
              </w:rPr>
              <w:t>A</w:t>
            </w:r>
            <w:r>
              <w:rPr>
                <w:rFonts w:hint="default" w:ascii="Times New Roman" w:hAnsi="Times New Roman" w:eastAsia="仿宋" w:cs="Times New Roman"/>
                <w:color w:val="auto"/>
                <w:sz w:val="24"/>
                <w:lang w:val="da-DK"/>
              </w:rPr>
              <w:t>（r）=</w:t>
            </w:r>
            <w:r>
              <w:rPr>
                <w:rFonts w:hint="default" w:ascii="Times New Roman" w:hAnsi="Times New Roman" w:eastAsia="仿宋" w:cs="Times New Roman"/>
                <w:color w:val="auto"/>
                <w:sz w:val="24"/>
                <w:lang w:val="en-US"/>
              </w:rPr>
              <w:t>L</w:t>
            </w:r>
            <w:r>
              <w:rPr>
                <w:rFonts w:hint="default" w:ascii="Times New Roman" w:hAnsi="Times New Roman" w:eastAsia="仿宋" w:cs="Times New Roman"/>
                <w:color w:val="auto"/>
                <w:sz w:val="24"/>
                <w:vertAlign w:val="subscript"/>
                <w:lang w:val="en-US"/>
              </w:rPr>
              <w:t>A</w:t>
            </w:r>
            <w:r>
              <w:rPr>
                <w:rFonts w:hint="default" w:ascii="Times New Roman" w:hAnsi="Times New Roman" w:eastAsia="仿宋" w:cs="Times New Roman"/>
                <w:color w:val="auto"/>
                <w:sz w:val="24"/>
                <w:lang w:val="en-US"/>
              </w:rPr>
              <w:t>（r</w:t>
            </w:r>
            <w:r>
              <w:rPr>
                <w:rFonts w:hint="default" w:ascii="Times New Roman" w:hAnsi="Times New Roman" w:eastAsia="仿宋" w:cs="Times New Roman"/>
                <w:color w:val="auto"/>
                <w:sz w:val="24"/>
                <w:vertAlign w:val="subscript"/>
                <w:lang w:val="en-US"/>
              </w:rPr>
              <w:t>0</w:t>
            </w:r>
            <w:r>
              <w:rPr>
                <w:rFonts w:hint="default" w:ascii="Times New Roman" w:hAnsi="Times New Roman" w:eastAsia="仿宋" w:cs="Times New Roman"/>
                <w:color w:val="auto"/>
                <w:sz w:val="24"/>
                <w:lang w:val="en-US"/>
              </w:rPr>
              <w:t>）</w:t>
            </w:r>
            <w:r>
              <w:rPr>
                <w:rFonts w:hint="default" w:ascii="Times New Roman" w:hAnsi="Times New Roman" w:eastAsia="仿宋" w:cs="Times New Roman"/>
                <w:color w:val="auto"/>
                <w:sz w:val="24"/>
                <w:lang w:val="da-DK"/>
              </w:rPr>
              <w:t>-20lg（r/r</w:t>
            </w:r>
            <w:r>
              <w:rPr>
                <w:rFonts w:hint="default" w:ascii="Times New Roman" w:hAnsi="Times New Roman" w:eastAsia="仿宋" w:cs="Times New Roman"/>
                <w:color w:val="auto"/>
                <w:sz w:val="24"/>
                <w:vertAlign w:val="subscript"/>
                <w:lang w:val="da-DK"/>
              </w:rPr>
              <w:t>0</w:t>
            </w:r>
            <w:r>
              <w:rPr>
                <w:rFonts w:hint="default" w:ascii="Times New Roman" w:hAnsi="Times New Roman" w:eastAsia="仿宋" w:cs="Times New Roman"/>
                <w:color w:val="auto"/>
                <w:sz w:val="24"/>
                <w:lang w:val="da-DK"/>
              </w:rPr>
              <w:t>）</w:t>
            </w:r>
          </w:p>
          <w:p>
            <w:pPr>
              <w:pStyle w:val="19"/>
              <w:spacing w:after="0" w:line="360" w:lineRule="auto"/>
              <w:ind w:firstLine="24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式中：L</w:t>
            </w:r>
            <w:r>
              <w:rPr>
                <w:rFonts w:hint="default" w:ascii="Times New Roman" w:hAnsi="Times New Roman" w:eastAsia="仿宋" w:cs="Times New Roman"/>
                <w:color w:val="auto"/>
                <w:sz w:val="24"/>
                <w:vertAlign w:val="subscript"/>
                <w:lang w:val="en-US"/>
              </w:rPr>
              <w:t>A</w:t>
            </w:r>
            <w:r>
              <w:rPr>
                <w:rFonts w:hint="default" w:ascii="Times New Roman" w:hAnsi="Times New Roman" w:eastAsia="仿宋" w:cs="Times New Roman"/>
                <w:color w:val="auto"/>
                <w:sz w:val="24"/>
                <w:lang w:val="en-US"/>
              </w:rPr>
              <w:t>（r）——距声源r处的A声级，dB（A）；</w:t>
            </w:r>
          </w:p>
          <w:p>
            <w:pPr>
              <w:pStyle w:val="19"/>
              <w:spacing w:after="0" w:line="360" w:lineRule="auto"/>
              <w:ind w:firstLine="960" w:firstLineChars="4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L</w:t>
            </w:r>
            <w:r>
              <w:rPr>
                <w:rFonts w:hint="default" w:ascii="Times New Roman" w:hAnsi="Times New Roman" w:eastAsia="仿宋" w:cs="Times New Roman"/>
                <w:color w:val="auto"/>
                <w:sz w:val="24"/>
                <w:vertAlign w:val="subscript"/>
                <w:lang w:val="en-US"/>
              </w:rPr>
              <w:t>A</w:t>
            </w:r>
            <w:r>
              <w:rPr>
                <w:rFonts w:hint="default" w:ascii="Times New Roman" w:hAnsi="Times New Roman" w:eastAsia="仿宋" w:cs="Times New Roman"/>
                <w:color w:val="auto"/>
                <w:sz w:val="24"/>
                <w:lang w:val="en-US"/>
              </w:rPr>
              <w:t>（r</w:t>
            </w:r>
            <w:r>
              <w:rPr>
                <w:rFonts w:hint="default" w:ascii="Times New Roman" w:hAnsi="Times New Roman" w:eastAsia="仿宋" w:cs="Times New Roman"/>
                <w:color w:val="auto"/>
                <w:sz w:val="24"/>
                <w:vertAlign w:val="subscript"/>
                <w:lang w:val="en-US"/>
              </w:rPr>
              <w:t>0</w:t>
            </w:r>
            <w:r>
              <w:rPr>
                <w:rFonts w:hint="default" w:ascii="Times New Roman" w:hAnsi="Times New Roman" w:eastAsia="仿宋" w:cs="Times New Roman"/>
                <w:color w:val="auto"/>
                <w:sz w:val="24"/>
                <w:lang w:val="en-US"/>
              </w:rPr>
              <w:t>）——已知r</w:t>
            </w:r>
            <w:r>
              <w:rPr>
                <w:rFonts w:hint="default" w:ascii="Times New Roman" w:hAnsi="Times New Roman" w:eastAsia="仿宋" w:cs="Times New Roman"/>
                <w:color w:val="auto"/>
                <w:sz w:val="24"/>
                <w:vertAlign w:val="subscript"/>
                <w:lang w:val="en-US"/>
              </w:rPr>
              <w:t>0</w:t>
            </w:r>
            <w:r>
              <w:rPr>
                <w:rFonts w:hint="default" w:ascii="Times New Roman" w:hAnsi="Times New Roman" w:eastAsia="仿宋" w:cs="Times New Roman"/>
                <w:color w:val="auto"/>
                <w:sz w:val="24"/>
                <w:lang w:val="en-US"/>
              </w:rPr>
              <w:t>处的A声级，dB（A）；</w:t>
            </w:r>
          </w:p>
          <w:p>
            <w:pPr>
              <w:pStyle w:val="19"/>
              <w:spacing w:after="0" w:line="360" w:lineRule="auto"/>
              <w:ind w:firstLine="960" w:firstLineChars="4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r——测点距声源的距离，m。</w:t>
            </w:r>
          </w:p>
          <w:p>
            <w:pPr>
              <w:overflowPunct w:val="0"/>
              <w:topLinePunct/>
              <w:spacing w:line="360" w:lineRule="auto"/>
              <w:ind w:firstLine="480" w:firstLineChars="200"/>
              <w:textAlignment w:val="baseline"/>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根据不同施工设备噪声源强，按上式预测各主要施工机械噪声影响情况见表4-7。</w:t>
            </w:r>
          </w:p>
          <w:p>
            <w:pPr>
              <w:pStyle w:val="7"/>
              <w:spacing w:line="360" w:lineRule="auto"/>
              <w:jc w:val="center"/>
              <w:rPr>
                <w:rFonts w:hint="default" w:ascii="Times New Roman" w:hAnsi="Times New Roman" w:eastAsia="仿宋" w:cs="Times New Roman"/>
                <w:b/>
                <w:color w:val="auto"/>
                <w:sz w:val="21"/>
                <w:szCs w:val="21"/>
                <w:lang w:val="en-US"/>
              </w:rPr>
            </w:pPr>
            <w:r>
              <w:rPr>
                <w:rFonts w:hint="default" w:ascii="Times New Roman" w:hAnsi="Times New Roman" w:eastAsia="仿宋" w:cs="Times New Roman"/>
                <w:b/>
                <w:color w:val="auto"/>
                <w:sz w:val="21"/>
                <w:szCs w:val="21"/>
                <w:lang w:val="en-US"/>
              </w:rPr>
              <w:t>表4-7  主要施工机械噪声预测结果</w:t>
            </w:r>
            <w:r>
              <w:rPr>
                <w:rFonts w:hint="default" w:ascii="Times New Roman" w:hAnsi="Times New Roman" w:eastAsia="仿宋" w:cs="Times New Roman"/>
                <w:b/>
                <w:color w:val="auto"/>
                <w:sz w:val="21"/>
                <w:szCs w:val="21"/>
                <w:lang w:val="en-US"/>
              </w:rPr>
              <w:tab/>
            </w:r>
            <w:r>
              <w:rPr>
                <w:rFonts w:hint="default" w:ascii="Times New Roman" w:hAnsi="Times New Roman" w:eastAsia="仿宋" w:cs="Times New Roman"/>
                <w:b/>
                <w:color w:val="auto"/>
                <w:sz w:val="21"/>
                <w:szCs w:val="21"/>
                <w:lang w:val="en-US"/>
              </w:rPr>
              <w:tab/>
            </w:r>
            <w:r>
              <w:rPr>
                <w:rFonts w:hint="default" w:ascii="Times New Roman" w:hAnsi="Times New Roman" w:eastAsia="仿宋" w:cs="Times New Roman"/>
                <w:b/>
                <w:color w:val="auto"/>
                <w:sz w:val="21"/>
                <w:szCs w:val="21"/>
                <w:lang w:val="en-US"/>
              </w:rPr>
              <w:t>单位：dB（A）</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823"/>
              <w:gridCol w:w="584"/>
              <w:gridCol w:w="584"/>
              <w:gridCol w:w="584"/>
              <w:gridCol w:w="584"/>
              <w:gridCol w:w="584"/>
              <w:gridCol w:w="584"/>
              <w:gridCol w:w="584"/>
              <w:gridCol w:w="584"/>
              <w:gridCol w:w="584"/>
              <w:gridCol w:w="689"/>
              <w:gridCol w:w="5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vMerge w:val="restart"/>
                  <w:tcBorders>
                    <w:top w:val="single" w:color="auto" w:sz="12" w:space="0"/>
                    <w:left w:val="nil"/>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序号</w:t>
                  </w:r>
                </w:p>
              </w:tc>
              <w:tc>
                <w:tcPr>
                  <w:tcW w:w="1183" w:type="pct"/>
                  <w:vMerge w:val="restart"/>
                  <w:tcBorders>
                    <w:top w:val="single" w:color="auto" w:sz="12"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机械类型</w:t>
                  </w:r>
                </w:p>
              </w:tc>
              <w:tc>
                <w:tcPr>
                  <w:tcW w:w="3545" w:type="pct"/>
                  <w:gridSpan w:val="11"/>
                  <w:tcBorders>
                    <w:top w:val="single" w:color="auto" w:sz="12" w:space="0"/>
                    <w:left w:val="single" w:color="auto" w:sz="6" w:space="0"/>
                    <w:bottom w:val="single" w:color="auto" w:sz="6" w:space="0"/>
                    <w:right w:val="nil"/>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距施工机械距离(m)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vMerge w:val="continue"/>
                  <w:tcBorders>
                    <w:top w:val="single" w:color="auto" w:sz="12" w:space="0"/>
                    <w:left w:val="nil"/>
                    <w:bottom w:val="single" w:color="auto" w:sz="6" w:space="0"/>
                    <w:right w:val="single" w:color="auto" w:sz="6" w:space="0"/>
                  </w:tcBorders>
                  <w:vAlign w:val="center"/>
                </w:tcPr>
                <w:p>
                  <w:pPr>
                    <w:widowControl/>
                    <w:rPr>
                      <w:rFonts w:hint="default" w:ascii="Times New Roman" w:hAnsi="Times New Roman" w:eastAsia="仿宋" w:cs="Times New Roman"/>
                      <w:b/>
                      <w:color w:val="auto"/>
                      <w:szCs w:val="21"/>
                    </w:rPr>
                  </w:pPr>
                </w:p>
              </w:tc>
              <w:tc>
                <w:tcPr>
                  <w:tcW w:w="1183" w:type="pct"/>
                  <w:vMerge w:val="continue"/>
                  <w:tcBorders>
                    <w:top w:val="single" w:color="auto" w:sz="12" w:space="0"/>
                    <w:left w:val="single" w:color="auto" w:sz="6" w:space="0"/>
                    <w:bottom w:val="single" w:color="auto" w:sz="6" w:space="0"/>
                    <w:right w:val="single" w:color="auto" w:sz="6" w:space="0"/>
                  </w:tcBorders>
                  <w:vAlign w:val="center"/>
                </w:tcPr>
                <w:p>
                  <w:pPr>
                    <w:widowControl/>
                    <w:rPr>
                      <w:rFonts w:hint="default" w:ascii="Times New Roman" w:hAnsi="Times New Roman" w:eastAsia="仿宋" w:cs="Times New Roman"/>
                      <w:b/>
                      <w:color w:val="auto"/>
                      <w:szCs w:val="21"/>
                    </w:rPr>
                  </w:pPr>
                </w:p>
              </w:tc>
              <w:tc>
                <w:tcPr>
                  <w:tcW w:w="252"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150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300</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履带吊（1000t）</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82.0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66.4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63.9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62.0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eastAsia="zh-CN"/>
                    </w:rPr>
                    <w:t>47.16</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汽车式起重机（260t）</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气腿式手风钻</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75.0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56.9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39.4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36.9</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60"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挖掘机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装载机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推土机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85.0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66.9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63.4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49.4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压路机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振动碾压机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手扶式振动碾压机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60"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牵引式斜坡振动碾</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插入式振捣器</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自卸汽车</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13</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60"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载重汽车</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14</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水车</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洒水车</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16</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移动式</w:t>
                  </w:r>
                </w:p>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柴油发电机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95.0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76.9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73.4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65.5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59.4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潜水泵</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85.0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66.9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63.4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49.4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60"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平板运输车</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85.0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66.9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63.4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59.0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49.4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移动式空压机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82.0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66.4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63.9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62.0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56.0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eastAsia="zh-CN"/>
                    </w:rPr>
                    <w:t>47.16</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钢筋调直机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21</w:t>
                  </w:r>
                </w:p>
              </w:tc>
              <w:tc>
                <w:tcPr>
                  <w:tcW w:w="1183" w:type="pct"/>
                  <w:tcBorders>
                    <w:top w:val="single" w:color="auto" w:sz="6" w:space="0"/>
                    <w:left w:val="single" w:color="auto" w:sz="6" w:space="0"/>
                    <w:bottom w:val="single" w:color="auto" w:sz="6"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钢筋切断机</w:t>
                  </w:r>
                </w:p>
              </w:tc>
              <w:tc>
                <w:tcPr>
                  <w:tcW w:w="252" w:type="pct"/>
                  <w:tcBorders>
                    <w:top w:val="single" w:color="auto" w:sz="6" w:space="0"/>
                    <w:left w:val="single" w:color="auto" w:sz="6" w:space="0"/>
                    <w:bottom w:val="single" w:color="auto" w:sz="6"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6"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71" w:type="pct"/>
                  <w:tcBorders>
                    <w:top w:val="single" w:color="auto" w:sz="6" w:space="0"/>
                    <w:left w:val="nil"/>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22</w:t>
                  </w:r>
                </w:p>
              </w:tc>
              <w:tc>
                <w:tcPr>
                  <w:tcW w:w="1183" w:type="pct"/>
                  <w:tcBorders>
                    <w:top w:val="single" w:color="auto" w:sz="6" w:space="0"/>
                    <w:left w:val="single" w:color="auto" w:sz="6" w:space="0"/>
                    <w:bottom w:val="single" w:color="auto" w:sz="12" w:space="0"/>
                    <w:right w:val="single" w:color="auto" w:sz="6" w:space="0"/>
                  </w:tcBorders>
                  <w:vAlign w:val="center"/>
                </w:tcPr>
                <w:p>
                  <w:pPr>
                    <w:pStyle w:val="65"/>
                    <w:spacing w:line="258" w:lineRule="exact"/>
                    <w:ind w:left="103"/>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钢筋弯曲机</w:t>
                  </w:r>
                </w:p>
              </w:tc>
              <w:tc>
                <w:tcPr>
                  <w:tcW w:w="252" w:type="pct"/>
                  <w:tcBorders>
                    <w:top w:val="single" w:color="auto" w:sz="6" w:space="0"/>
                    <w:left w:val="single" w:color="auto" w:sz="6" w:space="0"/>
                    <w:bottom w:val="single" w:color="auto" w:sz="12" w:space="0"/>
                    <w:right w:val="single" w:color="auto" w:sz="6" w:space="0"/>
                  </w:tcBorders>
                  <w:vAlign w:val="center"/>
                </w:tcPr>
                <w:p>
                  <w:pPr>
                    <w:pStyle w:val="67"/>
                    <w:rPr>
                      <w:rFonts w:hint="default" w:ascii="Times New Roman" w:hAnsi="Times New Roman" w:eastAsia="仿宋" w:cs="Times New Roman"/>
                      <w:snapToGrid w:val="0"/>
                      <w:color w:val="auto"/>
                      <w:lang w:val="en-US"/>
                    </w:rPr>
                  </w:pPr>
                  <w:r>
                    <w:rPr>
                      <w:rFonts w:hint="default" w:ascii="Times New Roman" w:hAnsi="Times New Roman" w:eastAsia="仿宋" w:cs="Times New Roman"/>
                      <w:snapToGrid w:val="0"/>
                      <w:color w:val="auto"/>
                      <w:lang w:val="en-US"/>
                    </w:rPr>
                    <w:t>80.0</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68.0</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61.9</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58.4</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55.9</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54.0</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50.5</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48.0</w:t>
                  </w:r>
                </w:p>
              </w:tc>
              <w:tc>
                <w:tcPr>
                  <w:tcW w:w="329"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44.4</w:t>
                  </w:r>
                </w:p>
              </w:tc>
              <w:tc>
                <w:tcPr>
                  <w:tcW w:w="329" w:type="pct"/>
                  <w:tcBorders>
                    <w:top w:val="single" w:color="auto" w:sz="6" w:space="0"/>
                    <w:left w:val="single" w:color="auto" w:sz="6" w:space="0"/>
                    <w:bottom w:val="single" w:color="auto" w:sz="12"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41.9</w:t>
                  </w:r>
                </w:p>
              </w:tc>
            </w:tr>
          </w:tbl>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本报告对施工检修道路区域多台施工设备同时施工的噪声排放情况进行预测分析，预测结果见表4-8。</w:t>
            </w:r>
          </w:p>
          <w:p>
            <w:pPr>
              <w:pStyle w:val="7"/>
              <w:spacing w:line="360" w:lineRule="auto"/>
              <w:jc w:val="center"/>
              <w:rPr>
                <w:rFonts w:hint="default" w:ascii="Times New Roman" w:hAnsi="Times New Roman" w:eastAsia="仿宋" w:cs="Times New Roman"/>
                <w:b/>
                <w:color w:val="auto"/>
                <w:szCs w:val="24"/>
                <w:lang w:val="en-US"/>
              </w:rPr>
            </w:pPr>
            <w:r>
              <w:rPr>
                <w:rFonts w:hint="default" w:ascii="Times New Roman" w:hAnsi="Times New Roman" w:eastAsia="仿宋" w:cs="Times New Roman"/>
                <w:b/>
                <w:color w:val="auto"/>
                <w:sz w:val="21"/>
                <w:szCs w:val="21"/>
                <w:lang w:val="en-US"/>
              </w:rPr>
              <w:t>表4-8  施工检修道路区域固定施工噪声点源预测值       dB（A）</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98"/>
              <w:gridCol w:w="918"/>
              <w:gridCol w:w="584"/>
              <w:gridCol w:w="584"/>
              <w:gridCol w:w="584"/>
              <w:gridCol w:w="584"/>
              <w:gridCol w:w="584"/>
              <w:gridCol w:w="584"/>
              <w:gridCol w:w="584"/>
              <w:gridCol w:w="584"/>
              <w:gridCol w:w="6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19" w:type="pct"/>
                  <w:vMerge w:val="restart"/>
                  <w:tcBorders>
                    <w:top w:val="single" w:color="auto" w:sz="12" w:space="0"/>
                    <w:left w:val="nil"/>
                    <w:bottom w:val="single" w:color="auto" w:sz="6" w:space="0"/>
                    <w:right w:val="single" w:color="auto" w:sz="6" w:space="0"/>
                  </w:tcBorders>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声源</w:t>
                  </w:r>
                </w:p>
              </w:tc>
              <w:tc>
                <w:tcPr>
                  <w:tcW w:w="496" w:type="pct"/>
                  <w:vMerge w:val="restart"/>
                  <w:tcBorders>
                    <w:top w:val="single" w:color="auto" w:sz="12"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源强</w:t>
                  </w:r>
                </w:p>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（5m）</w:t>
                  </w:r>
                </w:p>
              </w:tc>
              <w:tc>
                <w:tcPr>
                  <w:tcW w:w="2985" w:type="pct"/>
                  <w:gridSpan w:val="9"/>
                  <w:tcBorders>
                    <w:top w:val="single" w:color="auto" w:sz="12" w:space="0"/>
                    <w:left w:val="single" w:color="auto" w:sz="6" w:space="0"/>
                    <w:bottom w:val="single" w:color="auto" w:sz="6" w:space="0"/>
                    <w:right w:val="nil"/>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离声源不同距离（m）的噪声预测值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19" w:type="pct"/>
                  <w:vMerge w:val="continue"/>
                  <w:tcBorders>
                    <w:top w:val="single" w:color="auto" w:sz="12" w:space="0"/>
                    <w:left w:val="nil"/>
                    <w:bottom w:val="single" w:color="auto" w:sz="6" w:space="0"/>
                    <w:right w:val="single" w:color="auto" w:sz="6" w:space="0"/>
                  </w:tcBorders>
                  <w:vAlign w:val="center"/>
                </w:tcPr>
                <w:p>
                  <w:pPr>
                    <w:widowControl/>
                    <w:rPr>
                      <w:rFonts w:hint="default" w:ascii="Times New Roman" w:hAnsi="Times New Roman" w:eastAsia="仿宋" w:cs="Times New Roman"/>
                      <w:b/>
                      <w:color w:val="auto"/>
                      <w:szCs w:val="21"/>
                    </w:rPr>
                  </w:pPr>
                </w:p>
              </w:tc>
              <w:tc>
                <w:tcPr>
                  <w:tcW w:w="496" w:type="pct"/>
                  <w:vMerge w:val="continue"/>
                  <w:tcBorders>
                    <w:top w:val="single" w:color="auto" w:sz="12" w:space="0"/>
                    <w:left w:val="single" w:color="auto" w:sz="6" w:space="0"/>
                    <w:bottom w:val="single" w:color="auto" w:sz="6" w:space="0"/>
                    <w:right w:val="single" w:color="auto" w:sz="6" w:space="0"/>
                  </w:tcBorders>
                  <w:vAlign w:val="center"/>
                </w:tcPr>
                <w:p>
                  <w:pPr>
                    <w:widowControl/>
                    <w:rPr>
                      <w:rFonts w:hint="default" w:ascii="Times New Roman" w:hAnsi="Times New Roman" w:eastAsia="仿宋" w:cs="Times New Roman"/>
                      <w:b/>
                      <w:color w:val="auto"/>
                      <w:szCs w:val="21"/>
                    </w:rPr>
                  </w:pPr>
                </w:p>
              </w:tc>
              <w:tc>
                <w:tcPr>
                  <w:tcW w:w="315"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10</w:t>
                  </w:r>
                </w:p>
              </w:tc>
              <w:tc>
                <w:tcPr>
                  <w:tcW w:w="315"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20</w:t>
                  </w:r>
                </w:p>
              </w:tc>
              <w:tc>
                <w:tcPr>
                  <w:tcW w:w="315"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50</w:t>
                  </w:r>
                </w:p>
              </w:tc>
              <w:tc>
                <w:tcPr>
                  <w:tcW w:w="315"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60</w:t>
                  </w:r>
                </w:p>
              </w:tc>
              <w:tc>
                <w:tcPr>
                  <w:tcW w:w="315"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100</w:t>
                  </w:r>
                </w:p>
              </w:tc>
              <w:tc>
                <w:tcPr>
                  <w:tcW w:w="315"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150</w:t>
                  </w:r>
                </w:p>
              </w:tc>
              <w:tc>
                <w:tcPr>
                  <w:tcW w:w="315"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200</w:t>
                  </w:r>
                </w:p>
              </w:tc>
              <w:tc>
                <w:tcPr>
                  <w:tcW w:w="428" w:type="pct"/>
                  <w:tcBorders>
                    <w:top w:val="single" w:color="auto" w:sz="6" w:space="0"/>
                    <w:left w:val="single" w:color="auto" w:sz="6" w:space="0"/>
                    <w:bottom w:val="single" w:color="auto" w:sz="6" w:space="0"/>
                    <w:right w:val="single" w:color="auto" w:sz="6" w:space="0"/>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300</w:t>
                  </w:r>
                </w:p>
              </w:tc>
              <w:tc>
                <w:tcPr>
                  <w:tcW w:w="351" w:type="pct"/>
                  <w:tcBorders>
                    <w:top w:val="single" w:color="auto" w:sz="6" w:space="0"/>
                    <w:left w:val="single" w:color="auto" w:sz="6" w:space="0"/>
                    <w:bottom w:val="single" w:color="auto" w:sz="6" w:space="0"/>
                    <w:right w:val="nil"/>
                  </w:tcBorders>
                  <w:vAlign w:val="center"/>
                </w:tcPr>
                <w:p>
                  <w:pPr>
                    <w:keepLines/>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310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19" w:type="pct"/>
                  <w:tcBorders>
                    <w:top w:val="single" w:color="auto" w:sz="6" w:space="0"/>
                    <w:left w:val="nil"/>
                    <w:bottom w:val="single" w:color="auto" w:sz="12" w:space="0"/>
                    <w:right w:val="single" w:color="auto" w:sz="6" w:space="0"/>
                  </w:tcBorders>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检修道路工程挖掘机、装载机、压路机3台机械同时施工</w:t>
                  </w:r>
                </w:p>
              </w:tc>
              <w:tc>
                <w:tcPr>
                  <w:tcW w:w="496" w:type="pct"/>
                  <w:tcBorders>
                    <w:top w:val="single" w:color="auto" w:sz="6" w:space="0"/>
                    <w:left w:val="single" w:color="auto" w:sz="6" w:space="0"/>
                    <w:bottom w:val="single" w:color="auto" w:sz="12" w:space="0"/>
                    <w:right w:val="single" w:color="auto" w:sz="6" w:space="0"/>
                  </w:tcBorders>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90.8</w:t>
                  </w:r>
                </w:p>
              </w:tc>
              <w:tc>
                <w:tcPr>
                  <w:tcW w:w="315"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84.8</w:t>
                  </w:r>
                </w:p>
              </w:tc>
              <w:tc>
                <w:tcPr>
                  <w:tcW w:w="315"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78.8</w:t>
                  </w:r>
                </w:p>
              </w:tc>
              <w:tc>
                <w:tcPr>
                  <w:tcW w:w="315"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70.8</w:t>
                  </w:r>
                </w:p>
              </w:tc>
              <w:tc>
                <w:tcPr>
                  <w:tcW w:w="315"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69.2</w:t>
                  </w:r>
                </w:p>
              </w:tc>
              <w:tc>
                <w:tcPr>
                  <w:tcW w:w="315"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64.8</w:t>
                  </w:r>
                </w:p>
              </w:tc>
              <w:tc>
                <w:tcPr>
                  <w:tcW w:w="315"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61.3</w:t>
                  </w:r>
                </w:p>
              </w:tc>
              <w:tc>
                <w:tcPr>
                  <w:tcW w:w="315"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58.8</w:t>
                  </w:r>
                </w:p>
              </w:tc>
              <w:tc>
                <w:tcPr>
                  <w:tcW w:w="428" w:type="pct"/>
                  <w:tcBorders>
                    <w:top w:val="single" w:color="auto" w:sz="6" w:space="0"/>
                    <w:left w:val="single" w:color="auto" w:sz="6" w:space="0"/>
                    <w:bottom w:val="single" w:color="auto" w:sz="12" w:space="0"/>
                    <w:right w:val="single" w:color="auto" w:sz="6" w:space="0"/>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55.2</w:t>
                  </w:r>
                </w:p>
              </w:tc>
              <w:tc>
                <w:tcPr>
                  <w:tcW w:w="351" w:type="pct"/>
                  <w:tcBorders>
                    <w:top w:val="single" w:color="auto" w:sz="6" w:space="0"/>
                    <w:left w:val="single" w:color="auto" w:sz="6" w:space="0"/>
                    <w:bottom w:val="single" w:color="auto" w:sz="12" w:space="0"/>
                    <w:right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54.95</w:t>
                  </w:r>
                </w:p>
              </w:tc>
            </w:tr>
          </w:tbl>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综上预测结果可知：</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移动式柴油发电机的噪声影响最大，其次为汽车吊（1000t）、移动式空压机等。距离噪声源150m处各主要施工机械的噪声值为（43.0~69.5）dB(A)，当施工机械与施工场界距离大于150m时，单台机械设备运行产生的噪声满足《建筑施工厂界环境噪声排放标准》（GB12523-2011）昼间70dB(A)标准限值。</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由表4-8可知，本工程在未采取噪声防治措施的前提下检修道路工程区昼间达标距离约为60m，夜间达标距离约为310m。</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根据实际调查资料，目前国内风电场施工主要集中在昼间，夜间基本不施工，因此夜间施工噪声影响有限。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总体而言，施工期固定声源噪声对敏感点影响较小。</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（2）流动噪声源影响</w:t>
            </w:r>
          </w:p>
          <w:p>
            <w:pPr>
              <w:pStyle w:val="19"/>
              <w:spacing w:after="0" w:line="360" w:lineRule="auto"/>
              <w:ind w:firstLine="480" w:firstLineChars="2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本工程施工过程中流动噪声主要为运输车辆噪声，本项目车辆运输噪声对运输道路沿线声环境影响采用流动声源预测模式：</w:t>
            </w:r>
          </w:p>
          <w:p>
            <w:pPr>
              <w:pStyle w:val="19"/>
              <w:spacing w:after="0" w:line="360" w:lineRule="auto"/>
              <w:ind w:firstLine="0" w:firstLineChars="0"/>
              <w:jc w:val="center"/>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drawing>
                <wp:inline distT="0" distB="0" distL="0" distR="0">
                  <wp:extent cx="2295525" cy="257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screen"/>
                          <a:srcRect/>
                          <a:stretch>
                            <a:fillRect/>
                          </a:stretch>
                        </pic:blipFill>
                        <pic:spPr>
                          <a:xfrm>
                            <a:off x="0" y="0"/>
                            <a:ext cx="2295525" cy="257175"/>
                          </a:xfrm>
                          <a:prstGeom prst="rect">
                            <a:avLst/>
                          </a:prstGeom>
                          <a:noFill/>
                          <a:ln>
                            <a:noFill/>
                          </a:ln>
                        </pic:spPr>
                      </pic:pic>
                    </a:graphicData>
                  </a:graphic>
                </wp:inline>
              </w:drawing>
            </w:r>
          </w:p>
          <w:p>
            <w:pPr>
              <w:pStyle w:val="19"/>
              <w:spacing w:after="0" w:line="360" w:lineRule="auto"/>
              <w:ind w:firstLine="480" w:firstLineChars="2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式中：L</w:t>
            </w:r>
            <w:r>
              <w:rPr>
                <w:rFonts w:hint="default" w:ascii="Times New Roman" w:hAnsi="Times New Roman" w:eastAsia="仿宋" w:cs="Times New Roman"/>
                <w:color w:val="auto"/>
                <w:sz w:val="24"/>
                <w:vertAlign w:val="subscript"/>
                <w:lang w:val="en-US"/>
              </w:rPr>
              <w:t>m</w:t>
            </w:r>
            <w:r>
              <w:rPr>
                <w:rFonts w:hint="default" w:ascii="Times New Roman" w:hAnsi="Times New Roman" w:eastAsia="仿宋" w:cs="Times New Roman"/>
                <w:color w:val="auto"/>
                <w:sz w:val="24"/>
                <w:lang w:val="en-US"/>
              </w:rPr>
              <w:t>—预测点r（m）处的A声级，dB（A）；</w:t>
            </w:r>
          </w:p>
          <w:p>
            <w:pPr>
              <w:pStyle w:val="19"/>
              <w:spacing w:after="0" w:line="360" w:lineRule="auto"/>
              <w:ind w:firstLine="1200" w:firstLineChars="5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N—车流量，辆/h；</w:t>
            </w:r>
          </w:p>
          <w:p>
            <w:pPr>
              <w:pStyle w:val="19"/>
              <w:spacing w:after="0" w:line="360" w:lineRule="auto"/>
              <w:ind w:firstLine="1200" w:firstLineChars="5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v—车速，km/h；</w:t>
            </w:r>
          </w:p>
          <w:p>
            <w:pPr>
              <w:pStyle w:val="19"/>
              <w:spacing w:after="0" w:line="360" w:lineRule="auto"/>
              <w:ind w:firstLine="1200" w:firstLineChars="5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r—预测点距声源的距离，m。</w:t>
            </w:r>
          </w:p>
          <w:p>
            <w:pPr>
              <w:pStyle w:val="19"/>
              <w:spacing w:after="0" w:line="360" w:lineRule="auto"/>
              <w:ind w:firstLine="480" w:firstLineChars="200"/>
              <w:jc w:val="both"/>
              <w:rPr>
                <w:rFonts w:hint="default" w:ascii="Times New Roman" w:hAnsi="Times New Roman" w:eastAsia="仿宋" w:cs="Times New Roman"/>
                <w:color w:val="auto"/>
                <w:sz w:val="24"/>
                <w:lang w:val="en-US"/>
              </w:rPr>
            </w:pPr>
            <w:r>
              <w:rPr>
                <w:rFonts w:hint="default" w:ascii="Times New Roman" w:hAnsi="Times New Roman" w:eastAsia="仿宋" w:cs="Times New Roman"/>
                <w:color w:val="auto"/>
                <w:sz w:val="24"/>
                <w:lang w:val="en-US"/>
              </w:rPr>
              <w:t>本工程主要运输物料有商品砼、水泥、钢筋等，根据运输量估算，本工程施工高峰期车辆运输频率为10辆/h，车辆限速为30km/h。施工高峰期运输道路两侧的噪声影响情况如表4-9。</w:t>
            </w:r>
          </w:p>
          <w:p>
            <w:pPr>
              <w:pStyle w:val="7"/>
              <w:spacing w:line="360" w:lineRule="auto"/>
              <w:jc w:val="center"/>
              <w:rPr>
                <w:rFonts w:hint="default" w:ascii="Times New Roman" w:hAnsi="Times New Roman" w:eastAsia="仿宋" w:cs="Times New Roman"/>
                <w:b/>
                <w:color w:val="auto"/>
                <w:szCs w:val="24"/>
                <w:lang w:val="en-US"/>
              </w:rPr>
            </w:pPr>
            <w:r>
              <w:rPr>
                <w:rFonts w:hint="default" w:ascii="Times New Roman" w:hAnsi="Times New Roman" w:eastAsia="仿宋" w:cs="Times New Roman"/>
                <w:b/>
                <w:color w:val="auto"/>
                <w:sz w:val="21"/>
                <w:szCs w:val="21"/>
                <w:lang w:val="en-US"/>
              </w:rPr>
              <w:t>表4-9  施工道路两侧噪声影响范围预测表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14"/>
              <w:gridCol w:w="672"/>
              <w:gridCol w:w="672"/>
              <w:gridCol w:w="672"/>
              <w:gridCol w:w="672"/>
              <w:gridCol w:w="672"/>
              <w:gridCol w:w="672"/>
              <w:gridCol w:w="673"/>
              <w:gridCol w:w="673"/>
              <w:gridCol w:w="11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61"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距声源距离</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20m</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30m</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40m</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50m</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60m</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70m</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80m</w:t>
                  </w:r>
                </w:p>
              </w:tc>
              <w:tc>
                <w:tcPr>
                  <w:tcW w:w="383"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90m</w:t>
                  </w:r>
                </w:p>
              </w:tc>
              <w:tc>
                <w:tcPr>
                  <w:tcW w:w="676" w:type="pct"/>
                  <w:vAlign w:val="center"/>
                </w:tcPr>
                <w:p>
                  <w:pPr>
                    <w:spacing w:before="48" w:beforeLines="2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61"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预测值（dB（A））</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54.3</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52.6</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51.3</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50.4</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49.6</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48.9</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48.3</w:t>
                  </w:r>
                </w:p>
              </w:tc>
              <w:tc>
                <w:tcPr>
                  <w:tcW w:w="383"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47.8</w:t>
                  </w:r>
                </w:p>
              </w:tc>
              <w:tc>
                <w:tcPr>
                  <w:tcW w:w="676" w:type="pct"/>
                  <w:vAlign w:val="center"/>
                </w:tcPr>
                <w:p>
                  <w:pPr>
                    <w:spacing w:before="48" w:beforeLines="2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20m</w:t>
                  </w:r>
                </w:p>
              </w:tc>
            </w:tr>
          </w:tbl>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由表可知，项目施工期产生的运输噪声对道路两侧影响较轻，20m处能满足《建筑施工场界环境噪声排放标准》（GB12523-2011）昼间70dB(A)、夜间55dB(A)限值。</w:t>
            </w:r>
          </w:p>
          <w:p>
            <w:pPr>
              <w:adjustRightIn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实际调查资料，目前国内风电场施工主要集中在昼间，夜间基本不施工，因此夜间施工噪声影响有限。本环评要求施工单位尽量避免在午休及夜间施工，施工车辆在途经付堂村、万畈村、杨兵村等村庄时降低行车速度，减少鸣笛，如此实施后可将噪声控制在可接受水平。</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综上所述，施工期噪声主要是施工机械噪声和运输车辆交通噪声，施工单位在施工过程中，采用低噪声设置，定期检修设备，将施工设备合理布局，并合理安排施工活动，减轻对场界周围声环境的影响。在采取本环境影响报告表中提出噪声污染防治措施后，本项目施工期对周边声环境的影响可得到有效控制。</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5、固体废物影响情况分析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风电场施工期固体废物主要来源于主体工程施工中的废弃土石、建筑垃圾及施工人员产生的生活垃圾。</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（1）废弃土石方</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本项目总挖方</w:t>
            </w:r>
            <w:r>
              <w:rPr>
                <w:rFonts w:hint="eastAsia" w:eastAsia="仿宋" w:cs="Times New Roman"/>
                <w:color w:val="auto"/>
                <w:sz w:val="24"/>
                <w:lang w:val="en-US" w:eastAsia="zh-CN"/>
              </w:rPr>
              <w:t>40.46</w:t>
            </w:r>
            <w:r>
              <w:rPr>
                <w:rFonts w:hint="default" w:ascii="Times New Roman" w:hAnsi="Times New Roman" w:eastAsia="仿宋" w:cs="Times New Roman"/>
                <w:color w:val="auto"/>
                <w:sz w:val="24"/>
              </w:rPr>
              <w:t>万m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，总填方</w:t>
            </w:r>
            <w:r>
              <w:rPr>
                <w:rFonts w:hint="eastAsia" w:eastAsia="仿宋" w:cs="Times New Roman"/>
                <w:color w:val="auto"/>
                <w:sz w:val="24"/>
                <w:lang w:val="en-US" w:eastAsia="zh-CN"/>
              </w:rPr>
              <w:t>29.84</w:t>
            </w:r>
            <w:r>
              <w:rPr>
                <w:rFonts w:hint="default" w:ascii="Times New Roman" w:hAnsi="Times New Roman" w:eastAsia="仿宋" w:cs="Times New Roman"/>
                <w:color w:val="auto"/>
                <w:sz w:val="24"/>
              </w:rPr>
              <w:t>万m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w:t>
            </w:r>
            <w:r>
              <w:rPr>
                <w:rFonts w:hint="eastAsia" w:eastAsia="仿宋" w:cs="Times New Roman"/>
                <w:color w:val="auto"/>
                <w:sz w:val="24"/>
                <w:lang w:val="en-US" w:eastAsia="zh-CN"/>
              </w:rPr>
              <w:t>弃方12.83</w:t>
            </w:r>
            <w:r>
              <w:rPr>
                <w:rFonts w:hint="default" w:ascii="Times New Roman" w:hAnsi="Times New Roman" w:eastAsia="仿宋" w:cs="Times New Roman"/>
                <w:color w:val="auto"/>
                <w:sz w:val="24"/>
              </w:rPr>
              <w:t>万m</w:t>
            </w:r>
            <w:r>
              <w:rPr>
                <w:rFonts w:hint="default" w:ascii="Times New Roman" w:hAnsi="Times New Roman" w:eastAsia="仿宋" w:cs="Times New Roman"/>
                <w:color w:val="auto"/>
                <w:sz w:val="24"/>
                <w:vertAlign w:val="superscript"/>
              </w:rPr>
              <w:t>3</w:t>
            </w:r>
            <w:r>
              <w:rPr>
                <w:rFonts w:hint="eastAsia" w:eastAsia="仿宋" w:cs="Times New Roman"/>
                <w:color w:val="auto"/>
                <w:sz w:val="24"/>
                <w:vertAlign w:val="baseline"/>
                <w:lang w:eastAsia="zh-CN"/>
              </w:rPr>
              <w:t>，</w:t>
            </w:r>
            <w:r>
              <w:rPr>
                <w:rFonts w:hint="eastAsia" w:eastAsia="仿宋" w:cs="Times New Roman"/>
                <w:color w:val="auto"/>
                <w:sz w:val="24"/>
                <w:vertAlign w:val="baseline"/>
                <w:lang w:val="en-US" w:eastAsia="zh-CN"/>
              </w:rPr>
              <w:t>弃方在弃渣场处置，土石方平均弃渣运距约10km</w:t>
            </w:r>
            <w:r>
              <w:rPr>
                <w:rFonts w:hint="default" w:ascii="Times New Roman" w:hAnsi="Times New Roman" w:eastAsia="仿宋" w:cs="Times New Roman"/>
                <w:color w:val="auto"/>
                <w:sz w:val="24"/>
              </w:rPr>
              <w:t>。在施工建设中会存在需要临时堆放的清表土或者淤泥，可在已有道路改造段或新修道路段堆置，也可在渣土中转场周转，淤泥土进行土质改良后，满足回填要求的可以用于道路、平台等基底回填；若清表土、淤泥经过改良后仍无法满足回填用土要求，将该部分土用于道路、平台的边坡表面或者平台迹地恢复的表层，参配作为植物生长的营养土使用。本项目不设弃土场、取土场，项目多余的填方土从周边取土场、房地产基底开挖等场地购置。</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（2）建筑垃圾</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施工建筑废料主要为水泥、砂石等，可回收用于回填风电场区域内检修道路。</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（3）生活垃圾</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施工人员的生活垃圾按施工人员每人（工日）产生1kg计，施工高峰期固体废弃物约0.</w:t>
            </w:r>
            <w:r>
              <w:rPr>
                <w:rFonts w:hint="eastAsia" w:eastAsia="仿宋" w:cs="Times New Roman"/>
                <w:color w:val="auto"/>
                <w:sz w:val="24"/>
                <w:lang w:val="en-US" w:eastAsia="zh-CN"/>
              </w:rPr>
              <w:t>2</w:t>
            </w:r>
            <w:r>
              <w:rPr>
                <w:rFonts w:hint="default" w:ascii="Times New Roman" w:hAnsi="Times New Roman" w:eastAsia="仿宋" w:cs="Times New Roman"/>
                <w:color w:val="auto"/>
                <w:sz w:val="24"/>
              </w:rPr>
              <w:t>t/d，若堆存处理不当，遇雨水冲刷，造成流失，对周围环境产生污染影响。将集中收集至临时垃圾收集点后统一清运处理。</w:t>
            </w:r>
          </w:p>
          <w:p>
            <w:pPr>
              <w:pStyle w:val="54"/>
              <w:spacing w:line="360" w:lineRule="auto"/>
              <w:ind w:firstLine="480"/>
              <w:jc w:val="both"/>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施工期固体废物均妥善处置，严禁向周边任何水体倾倒，运输车辆采用密封措施，防止固废沿途洒落，同时运输路线避开</w:t>
            </w:r>
            <w:r>
              <w:rPr>
                <w:rFonts w:hint="eastAsia" w:eastAsia="仿宋" w:cs="Times New Roman"/>
                <w:color w:val="auto"/>
                <w:szCs w:val="24"/>
                <w:lang w:val="en-US" w:eastAsia="zh-CN"/>
              </w:rPr>
              <w:t>地表水</w:t>
            </w:r>
            <w:r>
              <w:rPr>
                <w:rFonts w:hint="default" w:ascii="Times New Roman" w:hAnsi="Times New Roman" w:eastAsia="仿宋" w:cs="Times New Roman"/>
                <w:color w:val="auto"/>
                <w:szCs w:val="24"/>
              </w:rPr>
              <w:t>周边区域，对周边环境影响较小。</w:t>
            </w:r>
          </w:p>
          <w:p>
            <w:pPr>
              <w:pStyle w:val="54"/>
              <w:spacing w:line="360" w:lineRule="auto"/>
              <w:ind w:firstLine="482"/>
              <w:rPr>
                <w:rFonts w:hint="default" w:ascii="Times New Roman" w:hAnsi="Times New Roman" w:eastAsia="仿宋" w:cs="Times New Roman"/>
                <w:bCs/>
                <w:color w:val="auto"/>
                <w:szCs w:val="24"/>
              </w:rPr>
            </w:pPr>
            <w:r>
              <w:rPr>
                <w:rFonts w:hint="default" w:ascii="Times New Roman" w:hAnsi="Times New Roman" w:eastAsia="仿宋" w:cs="Times New Roman"/>
                <w:b w:val="0"/>
                <w:bCs/>
                <w:color w:val="auto"/>
                <w:szCs w:val="24"/>
                <w:lang w:val="en-US"/>
              </w:rPr>
              <w:t>本工程</w:t>
            </w:r>
            <w:r>
              <w:rPr>
                <w:rFonts w:hint="default" w:ascii="Times New Roman" w:hAnsi="Times New Roman" w:eastAsia="仿宋" w:cs="Times New Roman"/>
                <w:b w:val="0"/>
                <w:bCs/>
                <w:color w:val="auto"/>
                <w:szCs w:val="24"/>
              </w:rPr>
              <w:t>施工期主要固体废物为施工人员的生活垃圾、施工建筑废料及弃渣。施工人员生活垃圾集中收集后定期清运，施工建筑废料回收用于回填风电场区域内检修道路，施工期固体废物均能得到合理处置，无二次污染。本工程施工期产生的固体废物在采取固体废物污染防治措施的前提下，不会对周边的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79" w:type="dxa"/>
            <w:tcMar>
              <w:left w:w="28" w:type="dxa"/>
              <w:right w:w="28" w:type="dxa"/>
            </w:tcMar>
            <w:vAlign w:val="center"/>
          </w:tcPr>
          <w:p>
            <w:pPr>
              <w:pStyle w:val="17"/>
              <w:adjustRightInd w:val="0"/>
              <w:snapToGrid w:val="0"/>
              <w:spacing w:before="0" w:beforeAutospacing="0" w:after="0" w:afterAutospacing="0"/>
              <w:jc w:val="center"/>
              <w:rPr>
                <w:rFonts w:hint="default" w:ascii="Times New Roman" w:hAnsi="Times New Roman" w:eastAsia="仿宋" w:cs="Times New Roman"/>
                <w:bCs/>
                <w:color w:val="auto"/>
                <w:kern w:val="2"/>
                <w:szCs w:val="24"/>
                <w:lang w:val="en-US"/>
              </w:rPr>
            </w:pPr>
            <w:r>
              <w:rPr>
                <w:rFonts w:hint="default" w:ascii="Times New Roman" w:hAnsi="Times New Roman" w:eastAsia="仿宋" w:cs="Times New Roman"/>
                <w:bCs/>
                <w:color w:val="auto"/>
                <w:spacing w:val="10"/>
                <w:kern w:val="2"/>
                <w:szCs w:val="24"/>
                <w:lang w:val="en-US"/>
              </w:rPr>
              <w:t>运营期生态环境影响分析</w:t>
            </w:r>
          </w:p>
        </w:tc>
        <w:tc>
          <w:tcPr>
            <w:tcW w:w="8363" w:type="dxa"/>
          </w:tcPr>
          <w:p>
            <w:pPr>
              <w:pStyle w:val="54"/>
              <w:spacing w:line="360" w:lineRule="auto"/>
              <w:ind w:firstLine="482"/>
              <w:rPr>
                <w:rFonts w:hint="eastAsia" w:eastAsia="仿宋" w:cs="Times New Roman"/>
                <w:b w:val="0"/>
                <w:bCs/>
                <w:color w:val="auto"/>
                <w:szCs w:val="24"/>
                <w:lang w:val="en-US" w:eastAsia="zh-CN"/>
              </w:rPr>
            </w:pPr>
            <w:r>
              <w:rPr>
                <w:rFonts w:hint="eastAsia" w:ascii="Times New Roman" w:hAnsi="Times New Roman" w:eastAsia="仿宋" w:cs="Times New Roman"/>
                <w:b w:val="0"/>
                <w:bCs/>
                <w:color w:val="auto"/>
                <w:szCs w:val="24"/>
                <w:lang w:val="en-US" w:eastAsia="zh-CN"/>
              </w:rPr>
              <w:t>本工程运营期</w:t>
            </w:r>
            <w:r>
              <w:rPr>
                <w:rFonts w:hint="eastAsia" w:eastAsia="仿宋" w:cs="Times New Roman"/>
                <w:b w:val="0"/>
                <w:bCs/>
                <w:color w:val="auto"/>
                <w:szCs w:val="24"/>
                <w:lang w:val="en-US" w:eastAsia="zh-CN"/>
              </w:rPr>
              <w:t>产污环节具体见下图：</w:t>
            </w:r>
          </w:p>
          <w:p>
            <w:pPr>
              <w:pStyle w:val="54"/>
              <w:spacing w:line="360" w:lineRule="auto"/>
              <w:ind w:firstLine="482"/>
              <w:jc w:val="center"/>
              <w:rPr>
                <w:rFonts w:hint="default" w:eastAsia="仿宋" w:cs="Times New Roman"/>
                <w:b w:val="0"/>
                <w:bCs/>
                <w:color w:val="auto"/>
                <w:szCs w:val="24"/>
                <w:lang w:val="en-US" w:eastAsia="zh-CN"/>
              </w:rPr>
            </w:pPr>
            <w:r>
              <w:rPr>
                <w:rFonts w:hint="default" w:eastAsia="仿宋" w:cs="Times New Roman"/>
                <w:b w:val="0"/>
                <w:bCs/>
                <w:color w:val="auto"/>
                <w:szCs w:val="24"/>
                <w:lang w:val="en-US" w:eastAsia="zh-CN"/>
              </w:rPr>
              <w:object>
                <v:shape id="_x0000_i1026" o:spt="75" type="#_x0000_t75" style="height:139.3pt;width:283.95pt;" o:ole="t" filled="f" o:preferrelative="t" stroked="f" coordsize="21600,21600">
                  <v:path/>
                  <v:fill on="f" focussize="0,0"/>
                  <v:stroke on="f"/>
                  <v:imagedata r:id="rId31" o:title=""/>
                  <o:lock v:ext="edit" aspectratio="f"/>
                  <w10:wrap type="none"/>
                  <w10:anchorlock/>
                </v:shape>
                <o:OLEObject Type="Embed" ProgID="Visio.Drawing.11" ShapeID="_x0000_i1026" DrawAspect="Content" ObjectID="_1468075726" r:id="rId30">
                  <o:LockedField>false</o:LockedField>
                </o:OLEObject>
              </w:object>
            </w:r>
          </w:p>
          <w:p>
            <w:pPr>
              <w:pStyle w:val="54"/>
              <w:spacing w:line="360" w:lineRule="auto"/>
              <w:ind w:firstLine="482"/>
              <w:jc w:val="center"/>
              <w:rPr>
                <w:rFonts w:hint="default" w:ascii="Times New Roman" w:hAnsi="Times New Roman" w:eastAsia="仿宋" w:cs="Times New Roman"/>
                <w:b/>
                <w:bCs/>
                <w:color w:val="auto"/>
                <w:sz w:val="24"/>
                <w:lang w:val="en-US" w:eastAsia="zh-CN"/>
              </w:rPr>
            </w:pPr>
            <w:r>
              <w:rPr>
                <w:rFonts w:hint="eastAsia" w:eastAsia="仿宋" w:cs="Times New Roman"/>
                <w:b/>
                <w:bCs/>
                <w:color w:val="auto"/>
                <w:sz w:val="24"/>
                <w:lang w:val="en-US" w:eastAsia="zh-CN"/>
              </w:rPr>
              <w:t>图4-3 本工程运营期产污环节示意图</w:t>
            </w:r>
          </w:p>
          <w:p>
            <w:pPr>
              <w:adjustRightInd w:val="0"/>
              <w:snapToGrid w:val="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1、生态环境影响分析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运行期，风机基座、升压站等产生的永久占地会使动物栖息地变小；连接风机塔间的新道路会对动物的正常活动增加阻隔作用，使野生动物的栖息地片段化；风机运行产生的噪声，对鸟类的栖息和繁殖产生影响；风机在转动时，可能会发生鸟类与风机发生撞击的危险。</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1.1对陆生植物的影响</w:t>
            </w:r>
          </w:p>
          <w:p>
            <w:pPr>
              <w:pStyle w:val="54"/>
              <w:spacing w:line="360" w:lineRule="auto"/>
              <w:ind w:firstLine="480"/>
              <w:jc w:val="both"/>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风电场建成后，永久占地内的植被将完全被破坏，形成建筑用地类型，但可以通过栽种乔、灌木和种植草坪等绿化方式减少由此造成的植被损失。施工道路、堆料场、施工临时生活办公区、施工区等临时占地，被占用的林地将随着施工的结束而得到恢复，其影响将逐步减小、甚至消失。</w:t>
            </w:r>
          </w:p>
          <w:p>
            <w:pPr>
              <w:pStyle w:val="54"/>
              <w:spacing w:line="360" w:lineRule="auto"/>
              <w:ind w:firstLine="480"/>
              <w:jc w:val="both"/>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风电场的运行过程中免不了风机等设施的维护检修，风电机在日常的维护检修中要进行拆卸、加油清洗等，如不注意会造成漏油及乱扔油布等现象，会对土壤、植被造成污染，影响植物的生长。</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1.2对陆生动物的影响</w:t>
            </w:r>
          </w:p>
          <w:p>
            <w:pPr>
              <w:adjustRightInd w:val="0"/>
              <w:spacing w:line="360" w:lineRule="auto"/>
              <w:ind w:firstLine="480" w:firstLineChars="200"/>
              <w:rPr>
                <w:rFonts w:hint="default" w:ascii="Times New Roman" w:hAnsi="Times New Roman" w:eastAsia="仿宋" w:cs="Times New Roman"/>
                <w:b/>
                <w:color w:val="auto"/>
                <w:sz w:val="24"/>
              </w:rPr>
            </w:pPr>
            <w:r>
              <w:rPr>
                <w:rFonts w:hint="default" w:ascii="Times New Roman" w:hAnsi="Times New Roman" w:eastAsia="仿宋" w:cs="Times New Roman"/>
                <w:bCs/>
                <w:color w:val="auto"/>
                <w:sz w:val="24"/>
              </w:rPr>
              <w:t>本工程在运行期对陆生动物的影响主要为风机、集电线路带来的影响。在4类陆生动物中，对鸟类的影响相对较大。</w:t>
            </w:r>
          </w:p>
          <w:p>
            <w:pPr>
              <w:spacing w:line="360" w:lineRule="auto"/>
              <w:ind w:firstLine="482"/>
              <w:rPr>
                <w:rFonts w:hint="default" w:ascii="Times New Roman" w:hAnsi="Times New Roman" w:eastAsia="仿宋" w:cs="Times New Roman"/>
                <w:b/>
                <w:color w:val="auto"/>
                <w:sz w:val="24"/>
                <w:lang w:val="zh-CN"/>
              </w:rPr>
            </w:pPr>
            <w:r>
              <w:rPr>
                <w:rFonts w:hint="default" w:ascii="Times New Roman" w:hAnsi="Times New Roman" w:eastAsia="仿宋" w:cs="Times New Roman"/>
                <w:b/>
                <w:color w:val="auto"/>
                <w:sz w:val="24"/>
                <w:lang w:val="zh-CN"/>
              </w:rPr>
              <w:t>1）生境质量下降对动物的影响</w:t>
            </w:r>
          </w:p>
          <w:p>
            <w:pPr>
              <w:pStyle w:val="70"/>
              <w:spacing w:line="360" w:lineRule="auto"/>
              <w:ind w:firstLine="436" w:firstLineChars="182"/>
              <w:rPr>
                <w:rFonts w:hint="default" w:ascii="Times New Roman" w:hAnsi="Times New Roman" w:eastAsia="仿宋" w:cs="Times New Roman"/>
                <w:color w:val="auto"/>
                <w:lang w:val="en-US"/>
              </w:rPr>
            </w:pPr>
            <w:r>
              <w:rPr>
                <w:rFonts w:hint="default" w:ascii="Times New Roman" w:hAnsi="Times New Roman" w:eastAsia="仿宋" w:cs="Times New Roman"/>
                <w:color w:val="auto"/>
              </w:rPr>
              <w:t>工程永久占地会导致动物原有栖息地面积的缩小，尤其是对部分耕地的占用以及灌草丛的破坏使动物活动场所和食物资源的减少。本项目总体上占地规模不大，在运营期的影响主要是风电设施运转、维护人员的活动等也会干扰影响部分动物的活动栖息地、觅食地。项目竣工后，新修的道路会对道路两边的两栖类、爬行类以及哺乳的正常活动增加阻隔作用，也会加剧鸟类栖息地片段化，这些因素的叠加会造成风电场区动物栖息地质量下降。</w:t>
            </w:r>
          </w:p>
          <w:p>
            <w:pPr>
              <w:spacing w:line="360" w:lineRule="auto"/>
              <w:ind w:firstLine="482"/>
              <w:rPr>
                <w:rFonts w:hint="default" w:ascii="Times New Roman" w:hAnsi="Times New Roman" w:eastAsia="仿宋" w:cs="Times New Roman"/>
                <w:b/>
                <w:color w:val="auto"/>
                <w:sz w:val="24"/>
                <w:lang w:val="zh-CN"/>
              </w:rPr>
            </w:pPr>
            <w:r>
              <w:rPr>
                <w:rFonts w:hint="default" w:ascii="Times New Roman" w:hAnsi="Times New Roman" w:eastAsia="仿宋" w:cs="Times New Roman"/>
                <w:bCs/>
                <w:snapToGrid w:val="0"/>
                <w:color w:val="auto"/>
                <w:kern w:val="0"/>
                <w:sz w:val="24"/>
                <w:lang w:val="zh-CN"/>
              </w:rPr>
              <w:t>栖息地质量下降有可能导致部分动物种群数量下降，同时也造成风电场区的生物多样性降低。根据现场调查，风电场区及其周边环境均以农田和居民区为主，人为干扰相对较大，栖息动物均为安全距离较近的常见种类，能够比较良好的适应栖息地变化。</w:t>
            </w:r>
            <w:r>
              <w:rPr>
                <w:rFonts w:hint="default" w:ascii="Times New Roman" w:hAnsi="Times New Roman" w:eastAsia="仿宋" w:cs="Times New Roman"/>
                <w:color w:val="auto"/>
                <w:sz w:val="24"/>
              </w:rPr>
              <w:t>尤其是鸟类，在运营初期有一段时间数量是下降的，但随着植被的逐渐恢复，鸟类种群数量可逐渐上升，恢复到接近原来水平；由于当地现存动物大部分是一些分布广泛、适应能力强或者本身就是已经适应人类干扰环境的种类，因此栖息地质量下降不会导致有物种消失。</w:t>
            </w:r>
          </w:p>
          <w:p>
            <w:pPr>
              <w:spacing w:line="360" w:lineRule="auto"/>
              <w:ind w:firstLine="482"/>
              <w:rPr>
                <w:rFonts w:hint="default" w:ascii="Times New Roman" w:hAnsi="Times New Roman" w:eastAsia="仿宋" w:cs="Times New Roman"/>
                <w:b/>
                <w:color w:val="auto"/>
                <w:sz w:val="24"/>
                <w:lang w:val="zh-CN"/>
              </w:rPr>
            </w:pPr>
            <w:r>
              <w:rPr>
                <w:rFonts w:hint="default" w:ascii="Times New Roman" w:hAnsi="Times New Roman" w:eastAsia="仿宋" w:cs="Times New Roman"/>
                <w:b/>
                <w:color w:val="auto"/>
                <w:sz w:val="24"/>
                <w:lang w:val="zh-CN"/>
              </w:rPr>
              <w:t>2）风机运行对动物影响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①</w:t>
            </w:r>
            <w:r>
              <w:rPr>
                <w:rFonts w:hint="default" w:ascii="Times New Roman" w:hAnsi="Times New Roman" w:eastAsia="仿宋" w:cs="Times New Roman"/>
                <w:color w:val="auto"/>
                <w:sz w:val="24"/>
              </w:rPr>
              <w:t>对鸟类栖息和觅食的影响</w:t>
            </w:r>
          </w:p>
          <w:p>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风机对区域栖息、觅食鸟类的影响主要包括两个方面。一方面是风机运行，包括叶片运动、噪音等对鸟类的干扰影响；另一方面是风机可能与鸟类发生碰撞。</w:t>
            </w:r>
          </w:p>
          <w:p>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风力发电场对鸟类影响最严重的后果是鸟类飞行中由于不能避让正在旋转中的风机叶片而致死或致伤，这种影响主要表现在风机转速和恶劣天气与鸟类撞击的关系。有研究说明，鸟类与风机发生撞击而造成死亡与风机的运转速度呈一定的相关关系，一般变速的风机对鸟类的影响较大（Percival，2003）。</w:t>
            </w:r>
            <w:r>
              <w:rPr>
                <w:rFonts w:hint="eastAsia" w:eastAsia="仿宋" w:cs="Times New Roman"/>
                <w:bCs/>
                <w:color w:val="auto"/>
                <w:sz w:val="24"/>
                <w:lang w:eastAsia="zh-CN"/>
              </w:rPr>
              <w:t>巴中市南江县风电场</w:t>
            </w:r>
            <w:r>
              <w:rPr>
                <w:rFonts w:hint="default" w:ascii="Times New Roman" w:hAnsi="Times New Roman" w:eastAsia="仿宋" w:cs="Times New Roman"/>
                <w:bCs/>
                <w:color w:val="auto"/>
                <w:sz w:val="24"/>
              </w:rPr>
              <w:t>运营后风机的影响高度通常在60~250m之间。通常鸟类在迁飞过程中飞行高度在400m左右，觅食过程中会大幅度降低高度。在轮毂高度年平均风速</w:t>
            </w:r>
            <w:r>
              <w:rPr>
                <w:rFonts w:hint="eastAsia" w:eastAsia="仿宋" w:cs="Times New Roman"/>
                <w:bCs/>
                <w:color w:val="auto"/>
                <w:sz w:val="24"/>
                <w:lang w:val="en-US" w:eastAsia="zh-CN"/>
              </w:rPr>
              <w:t>4.77</w:t>
            </w:r>
            <w:r>
              <w:rPr>
                <w:rFonts w:hint="default" w:ascii="Times New Roman" w:hAnsi="Times New Roman" w:eastAsia="仿宋" w:cs="Times New Roman"/>
                <w:bCs/>
                <w:color w:val="auto"/>
                <w:sz w:val="24"/>
              </w:rPr>
              <w:t>m/s，年平均风功率密度2</w:t>
            </w:r>
            <w:r>
              <w:rPr>
                <w:rFonts w:hint="eastAsia" w:eastAsia="仿宋" w:cs="Times New Roman"/>
                <w:bCs/>
                <w:color w:val="auto"/>
                <w:sz w:val="24"/>
                <w:lang w:val="en-US" w:eastAsia="zh-CN"/>
              </w:rPr>
              <w:t>77</w:t>
            </w:r>
            <w:r>
              <w:rPr>
                <w:rFonts w:hint="default" w:ascii="Times New Roman" w:hAnsi="Times New Roman" w:eastAsia="仿宋" w:cs="Times New Roman"/>
                <w:bCs/>
                <w:color w:val="auto"/>
                <w:sz w:val="24"/>
              </w:rPr>
              <w:t>W/m</w:t>
            </w:r>
            <w:r>
              <w:rPr>
                <w:rFonts w:hint="default" w:ascii="Times New Roman" w:hAnsi="Times New Roman" w:eastAsia="仿宋" w:cs="Times New Roman"/>
                <w:bCs/>
                <w:color w:val="auto"/>
                <w:sz w:val="24"/>
                <w:vertAlign w:val="superscript"/>
              </w:rPr>
              <w:t>2</w:t>
            </w:r>
            <w:r>
              <w:rPr>
                <w:rFonts w:hint="default" w:ascii="Times New Roman" w:hAnsi="Times New Roman" w:eastAsia="仿宋" w:cs="Times New Roman"/>
                <w:bCs/>
                <w:color w:val="auto"/>
                <w:sz w:val="24"/>
              </w:rPr>
              <w:t>。</w:t>
            </w:r>
            <w:r>
              <w:rPr>
                <w:rFonts w:hint="default" w:ascii="Times New Roman" w:hAnsi="Times New Roman" w:eastAsia="仿宋" w:cs="Times New Roman"/>
                <w:color w:val="auto"/>
                <w:sz w:val="24"/>
              </w:rPr>
              <w:t>在这种风速下，风机运转速度较慢，区域内发生鸟类碰撞风机致死现象的可能性较小（贺志明，2008），</w:t>
            </w:r>
            <w:r>
              <w:rPr>
                <w:rFonts w:hint="default" w:ascii="Times New Roman" w:hAnsi="Times New Roman" w:eastAsia="仿宋" w:cs="Times New Roman"/>
                <w:bCs/>
                <w:color w:val="auto"/>
                <w:sz w:val="24"/>
              </w:rPr>
              <w:t>风电场的鸟类能正常回避。此外，有研究表明，恶劣天气条件下如雾或雨天能见度低，增加了鸟类撞击的可能性。很强的逆风也会使鸟类降低飞行高度，从而也会增加相撞的几率。</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目前国内外已开展了风电场工程对鸟类迁徙的研究，其中包括利用雷达对世界上最大风力发电场Horns Rev电场地区鸟类迁徙行为的观察、监测，研究发现春季向北迁飞的鸟群在距离风力发电场400m左右开始变换飞行的方向，向北改为向西飞行，说明鸟类对风力发电场这类障碍物有一定的避让能力。雷达对丹麦Nysted海上风电场鸟类迁徙监测说明，白天鸟类可在3000m外，夜间鸟类在1000m外绕开风力发电场飞行，改变飞行方向。根据现场调查情况，风电场内无鸟类迁徙通道，</w:t>
            </w:r>
            <w:r>
              <w:rPr>
                <w:rFonts w:hint="default" w:ascii="Times New Roman" w:hAnsi="Times New Roman" w:eastAsia="仿宋" w:cs="Times New Roman"/>
                <w:color w:val="auto"/>
                <w:sz w:val="24"/>
              </w:rPr>
              <w:t>运行不会对鸟类迁徙造成干扰。</w:t>
            </w:r>
          </w:p>
          <w:p>
            <w:pPr>
              <w:spacing w:line="360" w:lineRule="auto"/>
              <w:ind w:firstLine="420" w:firstLineChars="200"/>
              <w:jc w:val="center"/>
              <w:rPr>
                <w:rFonts w:hint="default" w:ascii="Times New Roman" w:hAnsi="Times New Roman" w:eastAsia="仿宋" w:cs="Times New Roman"/>
                <w:color w:val="auto"/>
                <w:sz w:val="24"/>
              </w:rPr>
            </w:pPr>
            <w:r>
              <w:rPr>
                <w:sz w:val="21"/>
              </w:rPr>
              <mc:AlternateContent>
                <mc:Choice Requires="wps">
                  <w:drawing>
                    <wp:anchor distT="0" distB="0" distL="114300" distR="114300" simplePos="0" relativeHeight="251670528" behindDoc="0" locked="0" layoutInCell="1" allowOverlap="1">
                      <wp:simplePos x="0" y="0"/>
                      <wp:positionH relativeFrom="column">
                        <wp:posOffset>3286125</wp:posOffset>
                      </wp:positionH>
                      <wp:positionV relativeFrom="paragraph">
                        <wp:posOffset>2423795</wp:posOffset>
                      </wp:positionV>
                      <wp:extent cx="1175385" cy="349250"/>
                      <wp:effectExtent l="6350" t="1220470" r="18415" b="11430"/>
                      <wp:wrapNone/>
                      <wp:docPr id="11" name="圆角矩形标注 11"/>
                      <wp:cNvGraphicFramePr/>
                      <a:graphic xmlns:a="http://schemas.openxmlformats.org/drawingml/2006/main">
                        <a:graphicData uri="http://schemas.microsoft.com/office/word/2010/wordprocessingShape">
                          <wps:wsp>
                            <wps:cNvSpPr/>
                            <wps:spPr>
                              <a:xfrm>
                                <a:off x="4332605" y="4879340"/>
                                <a:ext cx="1175385" cy="349250"/>
                              </a:xfrm>
                              <a:prstGeom prst="wedgeRoundRectCallout">
                                <a:avLst>
                                  <a:gd name="adj1" fmla="val 35042"/>
                                  <a:gd name="adj2" fmla="val -385090"/>
                                  <a:gd name="adj3" fmla="val 16667"/>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8.75pt;margin-top:190.85pt;height:27.5pt;width:92.55pt;z-index:251670528;v-text-anchor:middle;mso-width-relative:page;mso-height-relative:page;" fillcolor="#FFFFFF [3212]" filled="t" stroked="t" coordsize="21600,21600" o:gfxdata="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4mie/2wAAAAsBAAAPAAAAAAAAAAEAIAAAACIAAABkcnMvZG93bnJldi54bWxQSwECFAAU&#10;AAAACACHTuJAq4ZQrdICAAChBQAADgAAAAAAAAABACAAAAAqAQAAZHJzL2Uyb0RvYy54bWxQSwUG&#10;AAAAAAYABgBZAQAAbgYAAAAA&#10;" adj="18369,-72379,14400">
                      <v:fill on="t"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项目所在位置</w:t>
                            </w:r>
                          </w:p>
                        </w:txbxContent>
                      </v:textbox>
                    </v:shape>
                  </w:pict>
                </mc:Fallback>
              </mc:AlternateContent>
            </w:r>
            <w:r>
              <w:drawing>
                <wp:inline distT="0" distB="0" distL="114300" distR="114300">
                  <wp:extent cx="3636010" cy="3386455"/>
                  <wp:effectExtent l="9525" t="9525" r="12065"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2"/>
                          <a:stretch>
                            <a:fillRect/>
                          </a:stretch>
                        </pic:blipFill>
                        <pic:spPr>
                          <a:xfrm>
                            <a:off x="0" y="0"/>
                            <a:ext cx="3636010" cy="3386455"/>
                          </a:xfrm>
                          <a:prstGeom prst="rect">
                            <a:avLst/>
                          </a:prstGeom>
                          <a:noFill/>
                          <a:ln w="6350">
                            <a:solidFill>
                              <a:schemeClr val="tx1"/>
                            </a:solidFill>
                          </a:ln>
                        </pic:spPr>
                      </pic:pic>
                    </a:graphicData>
                  </a:graphic>
                </wp:inline>
              </w:drawing>
            </w:r>
          </w:p>
          <w:p>
            <w:pPr>
              <w:spacing w:line="360" w:lineRule="auto"/>
              <w:ind w:left="422" w:hanging="422" w:hangingChars="200"/>
              <w:jc w:val="center"/>
              <w:rPr>
                <w:rFonts w:hint="default" w:ascii="Times New Roman" w:hAnsi="Times New Roman" w:eastAsia="仿宋" w:cs="Times New Roman"/>
                <w:bCs/>
                <w:color w:val="auto"/>
                <w:szCs w:val="21"/>
              </w:rPr>
            </w:pPr>
            <w:r>
              <w:rPr>
                <w:rFonts w:hint="default" w:ascii="Times New Roman" w:hAnsi="Times New Roman" w:eastAsia="仿宋" w:cs="Times New Roman"/>
                <w:b/>
                <w:color w:val="auto"/>
                <w:szCs w:val="21"/>
              </w:rPr>
              <w:t xml:space="preserve">图4-2 </w:t>
            </w:r>
            <w:r>
              <w:rPr>
                <w:rFonts w:hint="eastAsia" w:eastAsia="仿宋" w:cs="Times New Roman"/>
                <w:b/>
                <w:color w:val="auto"/>
                <w:szCs w:val="21"/>
                <w:lang w:eastAsia="zh-CN"/>
              </w:rPr>
              <w:t>四川</w:t>
            </w:r>
            <w:r>
              <w:rPr>
                <w:rFonts w:hint="default" w:ascii="Times New Roman" w:hAnsi="Times New Roman" w:eastAsia="仿宋" w:cs="Times New Roman"/>
                <w:b/>
                <w:color w:val="auto"/>
                <w:szCs w:val="21"/>
              </w:rPr>
              <w:t>省主要鸟类迁徙移动示意图</w:t>
            </w:r>
          </w:p>
          <w:p>
            <w:pPr>
              <w:spacing w:line="360" w:lineRule="auto"/>
              <w:ind w:firstLine="48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查阅相关资料以及对当地居民和林业部门相关工作人员的调查访问，评价区及其周边未发现有候鸟集中迁徙的现象。而且本项目风电场各风机之间的距离均在500m以上，有足够的通道可供鸟类迁徙活动，风机轮毂高度</w:t>
            </w:r>
            <w:r>
              <w:rPr>
                <w:rFonts w:hint="eastAsia" w:eastAsia="仿宋" w:cs="Times New Roman"/>
                <w:bCs/>
                <w:color w:val="auto"/>
                <w:sz w:val="24"/>
                <w:lang w:val="en-US" w:eastAsia="zh-CN"/>
              </w:rPr>
              <w:t>115</w:t>
            </w:r>
            <w:r>
              <w:rPr>
                <w:rFonts w:hint="default" w:ascii="Times New Roman" w:hAnsi="Times New Roman" w:eastAsia="仿宋" w:cs="Times New Roman"/>
                <w:bCs/>
                <w:color w:val="auto"/>
                <w:sz w:val="24"/>
              </w:rPr>
              <w:t>m，叶片直径</w:t>
            </w:r>
            <w:r>
              <w:rPr>
                <w:rFonts w:hint="eastAsia" w:eastAsia="仿宋" w:cs="Times New Roman"/>
                <w:bCs/>
                <w:color w:val="auto"/>
                <w:sz w:val="24"/>
                <w:lang w:val="en-US" w:eastAsia="zh-CN"/>
              </w:rPr>
              <w:t>200</w:t>
            </w:r>
            <w:r>
              <w:rPr>
                <w:rFonts w:hint="default" w:ascii="Times New Roman" w:hAnsi="Times New Roman" w:eastAsia="仿宋" w:cs="Times New Roman"/>
                <w:bCs/>
                <w:color w:val="auto"/>
                <w:sz w:val="24"/>
              </w:rPr>
              <w:t>m，风力发电机组的安装高度加上桨叶长度最高只有2</w:t>
            </w:r>
            <w:r>
              <w:rPr>
                <w:rFonts w:hint="eastAsia" w:eastAsia="仿宋" w:cs="Times New Roman"/>
                <w:bCs/>
                <w:color w:val="auto"/>
                <w:sz w:val="24"/>
                <w:lang w:val="en-US" w:eastAsia="zh-CN"/>
              </w:rPr>
              <w:t>15</w:t>
            </w:r>
            <w:r>
              <w:rPr>
                <w:rFonts w:hint="default" w:ascii="Times New Roman" w:hAnsi="Times New Roman" w:eastAsia="仿宋" w:cs="Times New Roman"/>
                <w:bCs/>
                <w:color w:val="auto"/>
                <w:sz w:val="24"/>
              </w:rPr>
              <w:t>m左右，与候鸟迁徙飞行高度相差较大，风力发电机组占据的空间面积相对较小，不足以影响或妨碍候鸟的迁徙飞行。</w:t>
            </w:r>
          </w:p>
          <w:p>
            <w:pPr>
              <w:spacing w:line="360" w:lineRule="auto"/>
              <w:ind w:firstLine="48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根据实地调查，风电场区域共调查到迁徙鸟类</w:t>
            </w:r>
            <w:r>
              <w:rPr>
                <w:rFonts w:hint="eastAsia" w:eastAsia="仿宋" w:cs="Times New Roman"/>
                <w:bCs/>
                <w:color w:val="auto"/>
                <w:sz w:val="24"/>
                <w:lang w:val="en-US" w:eastAsia="zh-CN"/>
              </w:rPr>
              <w:t>6</w:t>
            </w:r>
            <w:r>
              <w:rPr>
                <w:rFonts w:hint="default" w:ascii="Times New Roman" w:hAnsi="Times New Roman" w:eastAsia="仿宋" w:cs="Times New Roman"/>
                <w:bCs/>
                <w:color w:val="auto"/>
                <w:sz w:val="24"/>
              </w:rPr>
              <w:t>种，</w:t>
            </w:r>
            <w:r>
              <w:rPr>
                <w:rFonts w:hint="eastAsia" w:eastAsia="仿宋" w:cs="Times New Roman"/>
                <w:bCs/>
                <w:color w:val="auto"/>
                <w:sz w:val="24"/>
                <w:lang w:val="en-US" w:eastAsia="zh-CN"/>
              </w:rPr>
              <w:t>代表性的有</w:t>
            </w:r>
            <w:r>
              <w:rPr>
                <w:rFonts w:hint="default" w:ascii="Times New Roman" w:hAnsi="Times New Roman" w:eastAsia="仿宋" w:cs="Times New Roman"/>
                <w:bCs/>
                <w:color w:val="auto"/>
                <w:sz w:val="24"/>
              </w:rPr>
              <w:t>斑头雁</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猎隼、玉带海雕</w:t>
            </w:r>
            <w:r>
              <w:rPr>
                <w:rFonts w:hint="eastAsia" w:eastAsia="仿宋" w:cs="Times New Roman"/>
                <w:bCs/>
                <w:color w:val="auto"/>
                <w:sz w:val="24"/>
                <w:lang w:val="en-US" w:eastAsia="zh-CN"/>
              </w:rPr>
              <w:t>等</w:t>
            </w:r>
            <w:r>
              <w:rPr>
                <w:rFonts w:hint="default" w:ascii="Times New Roman" w:hAnsi="Times New Roman" w:eastAsia="仿宋" w:cs="Times New Roman"/>
                <w:bCs/>
                <w:color w:val="auto"/>
                <w:sz w:val="24"/>
              </w:rPr>
              <w:t>，其余种群数量相对较少，密度均小于0.05只/hm</w:t>
            </w:r>
            <w:r>
              <w:rPr>
                <w:rFonts w:hint="default" w:ascii="Times New Roman" w:hAnsi="Times New Roman" w:eastAsia="仿宋" w:cs="Times New Roman"/>
                <w:bCs/>
                <w:color w:val="auto"/>
                <w:sz w:val="24"/>
                <w:vertAlign w:val="superscript"/>
              </w:rPr>
              <w:t>2</w:t>
            </w:r>
            <w:r>
              <w:rPr>
                <w:rFonts w:hint="default" w:ascii="Times New Roman" w:hAnsi="Times New Roman" w:eastAsia="仿宋" w:cs="Times New Roman"/>
                <w:bCs/>
                <w:color w:val="auto"/>
                <w:sz w:val="24"/>
              </w:rPr>
              <w:t>。根据评价范围的地形地貌判断，风机建设范围内无高山阻隔而形成鸟类迁飞的固定通道，鸟类的迁徙分散，风电场运行时发生鸟机相撞的风险较低。但是风电场区域设置的</w:t>
            </w:r>
            <w:r>
              <w:rPr>
                <w:rFonts w:hint="eastAsia" w:eastAsia="仿宋" w:cs="Times New Roman"/>
                <w:bCs/>
                <w:color w:val="auto"/>
                <w:sz w:val="24"/>
                <w:lang w:val="en-US" w:eastAsia="zh-CN"/>
              </w:rPr>
              <w:t>10台</w:t>
            </w:r>
            <w:r>
              <w:rPr>
                <w:rFonts w:hint="default" w:ascii="Times New Roman" w:hAnsi="Times New Roman" w:eastAsia="仿宋" w:cs="Times New Roman"/>
                <w:bCs/>
                <w:color w:val="auto"/>
                <w:sz w:val="24"/>
              </w:rPr>
              <w:t>风电机位置相对分散，</w:t>
            </w:r>
            <w:r>
              <w:rPr>
                <w:rFonts w:hint="eastAsia" w:eastAsia="仿宋" w:cs="Times New Roman"/>
                <w:bCs/>
                <w:color w:val="auto"/>
                <w:sz w:val="24"/>
                <w:lang w:val="en-US" w:eastAsia="zh-CN"/>
              </w:rPr>
              <w:t>呈东北至西南走向</w:t>
            </w:r>
            <w:r>
              <w:rPr>
                <w:rFonts w:hint="default" w:ascii="Times New Roman" w:hAnsi="Times New Roman" w:eastAsia="仿宋" w:cs="Times New Roman"/>
                <w:bCs/>
                <w:color w:val="auto"/>
                <w:sz w:val="24"/>
              </w:rPr>
              <w:t>，与候鸟迁徙方向平行，对候鸟迁徙影响较小。</w:t>
            </w:r>
          </w:p>
          <w:p>
            <w:pPr>
              <w:spacing w:line="360" w:lineRule="auto"/>
              <w:ind w:firstLine="480" w:firstLineChars="200"/>
              <w:rPr>
                <w:rFonts w:hint="default" w:ascii="Times New Roman" w:hAnsi="Times New Roman" w:eastAsia="仿宋" w:cs="Times New Roman"/>
                <w:color w:val="auto"/>
                <w:sz w:val="24"/>
              </w:rPr>
            </w:pPr>
            <w:r>
              <w:rPr>
                <w:rFonts w:hint="eastAsia" w:eastAsia="仿宋" w:cs="Times New Roman"/>
                <w:bCs/>
                <w:color w:val="auto"/>
                <w:sz w:val="24"/>
                <w:lang w:val="en-US" w:eastAsia="zh-CN"/>
              </w:rPr>
              <w:t>②</w:t>
            </w:r>
            <w:r>
              <w:rPr>
                <w:rFonts w:hint="default" w:ascii="Times New Roman" w:hAnsi="Times New Roman" w:eastAsia="仿宋" w:cs="Times New Roman"/>
                <w:bCs/>
                <w:color w:val="auto"/>
                <w:sz w:val="24"/>
              </w:rPr>
              <w:t>风机噪声对动物栖息和觅食的影响</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风电机在运转过程中会产生叶片扫风噪声和机械运转噪声，其中以机组内部的噪声为主。根据以往风电工程的相关预测</w:t>
            </w:r>
            <w:r>
              <w:rPr>
                <w:rFonts w:hint="default" w:ascii="Times New Roman" w:hAnsi="Times New Roman" w:eastAsia="仿宋" w:cs="Times New Roman"/>
                <w:color w:val="auto"/>
                <w:sz w:val="24"/>
              </w:rPr>
              <w:t>，</w:t>
            </w:r>
            <w:r>
              <w:rPr>
                <w:rFonts w:hint="default" w:ascii="Times New Roman" w:hAnsi="Times New Roman" w:eastAsia="仿宋" w:cs="Times New Roman"/>
                <w:color w:val="auto"/>
                <w:kern w:val="0"/>
                <w:sz w:val="24"/>
              </w:rPr>
              <w:t>运行期噪声源为叶片扫风产生的空气动力噪声和机组内部机械运转产生机械噪声，噪声源强为107dB（A）</w:t>
            </w:r>
            <w:r>
              <w:rPr>
                <w:rFonts w:hint="default" w:ascii="Times New Roman" w:hAnsi="Times New Roman" w:eastAsia="仿宋" w:cs="Times New Roman"/>
                <w:bCs/>
                <w:color w:val="auto"/>
                <w:sz w:val="24"/>
              </w:rPr>
              <w:t>。由于风电机组间相距较远，每个风电机组可视为一个点声源，根据处于自由空间的点声源衰减公式和多声源叠加公式对预测点进行预测可知，昼间水平距离50m外、夜间水平距离</w:t>
            </w:r>
            <w:r>
              <w:rPr>
                <w:rFonts w:hint="eastAsia" w:eastAsia="仿宋" w:cs="Times New Roman"/>
                <w:bCs/>
                <w:color w:val="auto"/>
                <w:sz w:val="24"/>
                <w:lang w:val="en-US" w:eastAsia="zh-CN"/>
              </w:rPr>
              <w:t>317m</w:t>
            </w:r>
            <w:r>
              <w:rPr>
                <w:rFonts w:hint="default" w:ascii="Times New Roman" w:hAnsi="Times New Roman" w:eastAsia="仿宋" w:cs="Times New Roman"/>
                <w:bCs/>
                <w:color w:val="auto"/>
                <w:sz w:val="24"/>
              </w:rPr>
              <w:t>外的噪声</w:t>
            </w:r>
            <w:r>
              <w:rPr>
                <w:rFonts w:hint="eastAsia" w:eastAsia="仿宋" w:cs="Times New Roman"/>
                <w:bCs/>
                <w:color w:val="auto"/>
                <w:sz w:val="24"/>
                <w:lang w:val="en-US" w:eastAsia="zh-CN"/>
              </w:rPr>
              <w:t>贡献值</w:t>
            </w:r>
            <w:r>
              <w:rPr>
                <w:rFonts w:hint="default" w:ascii="Times New Roman" w:hAnsi="Times New Roman" w:eastAsia="仿宋" w:cs="Times New Roman"/>
                <w:bCs/>
                <w:color w:val="auto"/>
                <w:sz w:val="24"/>
              </w:rPr>
              <w:t>满足昼间55dB(A)、夜间45dB(A)的要求，在此区域之外对动物的影响相对较小。但在风机周边较近的区域内对动物将造成一定的驱赶作用，其中特别是对鸟类和哺乳类中的蝙蝠类有一定影响。由于大多数鸟类和哺乳类对噪声具有较高的敏感性，在该噪声环境条件下，大多数鸟类会选择回避，这将造成动物活动范围的缩减。但动物对长期持续而无害的噪音会产生一定的适应性，随着运行时间的延长，这种影响会逐渐减小</w:t>
            </w:r>
            <w:r>
              <w:rPr>
                <w:rFonts w:hint="default" w:ascii="Times New Roman" w:hAnsi="Times New Roman" w:eastAsia="仿宋" w:cs="Times New Roman"/>
                <w:color w:val="auto"/>
                <w:sz w:val="24"/>
              </w:rPr>
              <w:t>。</w:t>
            </w:r>
          </w:p>
          <w:p>
            <w:pPr>
              <w:spacing w:line="360" w:lineRule="auto"/>
              <w:ind w:firstLine="48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w:t>
            </w:r>
            <w:r>
              <w:rPr>
                <w:rFonts w:hint="eastAsia" w:eastAsia="仿宋" w:cs="Times New Roman"/>
                <w:b/>
                <w:color w:val="auto"/>
                <w:sz w:val="24"/>
                <w:lang w:val="en-US" w:eastAsia="zh-CN"/>
              </w:rPr>
              <w:t>升压站和</w:t>
            </w:r>
            <w:r>
              <w:rPr>
                <w:rFonts w:hint="default" w:ascii="Times New Roman" w:hAnsi="Times New Roman" w:eastAsia="仿宋" w:cs="Times New Roman"/>
                <w:b/>
                <w:color w:val="auto"/>
                <w:sz w:val="24"/>
              </w:rPr>
              <w:t>集电线路对动物的影响</w:t>
            </w:r>
          </w:p>
          <w:p>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本工程</w:t>
            </w:r>
            <w:r>
              <w:rPr>
                <w:rFonts w:hint="eastAsia" w:eastAsia="仿宋" w:cs="Times New Roman"/>
                <w:bCs/>
                <w:color w:val="auto"/>
                <w:sz w:val="24"/>
                <w:lang w:val="en-US" w:eastAsia="zh-CN"/>
              </w:rPr>
              <w:t>集电线路采用直埋电缆形式</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输电线路导线的设置对飞行过程中的鸟类</w:t>
            </w:r>
            <w:r>
              <w:rPr>
                <w:rFonts w:hint="eastAsia" w:eastAsia="仿宋" w:cs="Times New Roman"/>
                <w:bCs/>
                <w:color w:val="auto"/>
                <w:sz w:val="24"/>
                <w:lang w:val="en-US" w:eastAsia="zh-CN"/>
              </w:rPr>
              <w:t>无影响</w:t>
            </w:r>
            <w:r>
              <w:rPr>
                <w:rFonts w:hint="default" w:ascii="Times New Roman" w:hAnsi="Times New Roman" w:eastAsia="仿宋" w:cs="Times New Roman"/>
                <w:bCs/>
                <w:color w:val="auto"/>
                <w:sz w:val="24"/>
              </w:rPr>
              <w:t>。运行期升压站对动物的影响除电磁影响和噪声影响外，升压站中设置有办公生活区，若不采取合理措施，运行期工作人员正常生产生活产生的生活垃圾及生活污水将污染升压站周围动物生境，使得动物远离该地区，亦或引来大量啮齿类动物的到来，而恶化该区域的生态平衡。但考虑到运营期</w:t>
            </w:r>
            <w:r>
              <w:rPr>
                <w:rFonts w:hint="eastAsia" w:eastAsia="仿宋" w:cs="Times New Roman"/>
                <w:bCs/>
                <w:color w:val="auto"/>
                <w:sz w:val="24"/>
                <w:lang w:val="en-US" w:eastAsia="zh-CN"/>
              </w:rPr>
              <w:t>升压站有相应环保设施</w:t>
            </w:r>
            <w:r>
              <w:rPr>
                <w:rFonts w:hint="default" w:ascii="Times New Roman" w:hAnsi="Times New Roman" w:eastAsia="仿宋" w:cs="Times New Roman"/>
                <w:bCs/>
                <w:color w:val="auto"/>
                <w:sz w:val="24"/>
              </w:rPr>
              <w:t>，这种影响基本可控，且可以通过合理的保护措施加以消减或避免。</w:t>
            </w:r>
          </w:p>
          <w:p>
            <w:pPr>
              <w:spacing w:line="360" w:lineRule="auto"/>
              <w:ind w:firstLine="48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4）场内道路对动物的影响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lang w:val="zh-CN"/>
              </w:rPr>
              <w:t>风电场运营后，</w:t>
            </w:r>
            <w:r>
              <w:rPr>
                <w:rFonts w:hint="default" w:ascii="Times New Roman" w:hAnsi="Times New Roman" w:eastAsia="仿宋" w:cs="Times New Roman"/>
                <w:bCs/>
                <w:color w:val="auto"/>
                <w:sz w:val="24"/>
              </w:rPr>
              <w:t>场内道路主要用于风机检修和维护，其对项目区内动物的影响主要在于栖息地的破碎使动物的活动范围受到限制，同时场内道路的运行也提高了动物在新建道路上被碾压的概率。尤其是对迁移能力较差的动物如两栖类和爬行类，对鸟类和哺乳类影响相对较小。考虑到运行期施工道路主要用于检修和维护，在农耕时间有农用车辆出入较多，其他时间道路上车流量有限，因此对动物的正常栖息活动影响较小。在运营过程中，需要在检修道路两侧树立限速的警示牌，对来往车辆采取限速的措施，可以进一步减缓动物被碾压的概率</w:t>
            </w:r>
            <w:r>
              <w:rPr>
                <w:rFonts w:hint="default" w:ascii="Times New Roman" w:hAnsi="Times New Roman" w:eastAsia="仿宋" w:cs="Times New Roman"/>
                <w:color w:val="auto"/>
                <w:sz w:val="24"/>
              </w:rPr>
              <w:t>。</w:t>
            </w:r>
          </w:p>
          <w:p>
            <w:pPr>
              <w:spacing w:line="360" w:lineRule="auto"/>
              <w:ind w:firstLine="48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5）对水生生物的影响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a、路面径流对水生生物的影响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运行期间，汽车尾气及路面材料产生的污染物，以及在汽车保养状况不良、发生故障、出现事故时产生污染物，随天然降雨形成的路面径流而进入附近水域，会造成水体悬浮物、石油类和COD的污染。本项目进场及施工检修道路大部分采用村村通道路，由于本项目建设导致路面径流对水生生物的影响有限。</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b、噪声、光线等对水生生物的影响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运行期汽车带来的噪音及夜间行车的光照，沿线人为活动的增加，会在一定程度上影响鱼类和部分底栖动物的正常栖息环境，对其有驱赶作用，使新建和改建道路伴行水域附近鱼类和底栖动物数量明显少于其它地区。本项目进场及施工检修道路大部分采用村村通道路，由于本项目建设导致噪声及灯光等对水生生物的影响有限。</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c、人类活动对水生生物的影响</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人类活动对水生生物的影响风电场运行期生活污水和垃圾主要来自升压站内管理人员及维护人员的生活用水和生活垃圾，站内配备生活污水处理设施对生活污水处理后回用，生活垃圾统一收集后交环卫清运，因此运行期人类活动对水生生物的影响有限。</w:t>
            </w:r>
          </w:p>
          <w:p>
            <w:pPr>
              <w:spacing w:line="360" w:lineRule="auto"/>
              <w:rPr>
                <w:rFonts w:hint="default" w:ascii="Times New Roman" w:hAnsi="Times New Roman" w:eastAsia="仿宋" w:cs="Times New Roman"/>
                <w:b/>
                <w:color w:val="auto"/>
                <w:sz w:val="24"/>
                <w:lang w:bidi="ar"/>
              </w:rPr>
            </w:pPr>
            <w:r>
              <w:rPr>
                <w:rFonts w:hint="default" w:ascii="Times New Roman" w:hAnsi="Times New Roman" w:eastAsia="仿宋" w:cs="Times New Roman"/>
                <w:b/>
                <w:color w:val="auto"/>
                <w:sz w:val="24"/>
                <w:lang w:bidi="ar"/>
              </w:rPr>
              <w:t>1.3生态小结</w:t>
            </w:r>
          </w:p>
          <w:p>
            <w:pPr>
              <w:spacing w:line="360" w:lineRule="auto"/>
              <w:ind w:firstLine="480" w:firstLineChars="200"/>
              <w:rPr>
                <w:rFonts w:hint="default" w:ascii="Times New Roman" w:hAnsi="Times New Roman" w:eastAsia="仿宋" w:cs="Times New Roman"/>
                <w:b/>
                <w:color w:val="auto"/>
                <w:sz w:val="24"/>
                <w:lang w:bidi="ar"/>
              </w:rPr>
            </w:pPr>
            <w:r>
              <w:rPr>
                <w:rFonts w:hint="default" w:ascii="Times New Roman" w:hAnsi="Times New Roman" w:eastAsia="仿宋" w:cs="Times New Roman"/>
                <w:b w:val="0"/>
                <w:bCs/>
                <w:color w:val="auto"/>
                <w:sz w:val="24"/>
                <w:lang w:bidi="ar"/>
              </w:rPr>
              <w:t>综上所述，本工程运行期不影响或妨碍候鸟的迁徙飞行，运行期对生态环境影响很小。因此，</w:t>
            </w:r>
            <w:r>
              <w:rPr>
                <w:rFonts w:hint="default" w:ascii="Times New Roman" w:hAnsi="Times New Roman" w:eastAsia="仿宋" w:cs="Times New Roman"/>
                <w:b w:val="0"/>
                <w:bCs/>
                <w:color w:val="auto"/>
                <w:sz w:val="24"/>
              </w:rPr>
              <w:t>在严格落实本评价提出的环境保护措施的前提下，本工程运行期对周边生态环境的影响较小。</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2、环境空气影响情况分析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本项目运行期主要废气为食堂油烟，产生量为3.10kg/a，浓度为4mg/m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。建设单位应设置处理效率不低于60%的油烟净化器，排放浓度小于2mg/m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。处理后油烟排放量为1.24kg/a，净化设施处理效率及油烟排放浓度满足《饮食业油烟排放标准（试行）》（GB18483-2001）小型规模要求，项目油烟排放对周边环境影响不大。</w:t>
            </w:r>
          </w:p>
          <w:p>
            <w:pPr>
              <w:spacing w:line="360" w:lineRule="auto"/>
              <w:rPr>
                <w:rFonts w:hint="default" w:ascii="Times New Roman" w:hAnsi="Times New Roman" w:eastAsia="仿宋" w:cs="Times New Roman"/>
                <w:color w:val="auto"/>
                <w:sz w:val="24"/>
              </w:rPr>
            </w:pPr>
            <w:r>
              <w:rPr>
                <w:rFonts w:hint="default" w:ascii="Times New Roman" w:hAnsi="Times New Roman" w:eastAsia="仿宋" w:cs="Times New Roman"/>
                <w:b/>
                <w:color w:val="auto"/>
                <w:sz w:val="24"/>
              </w:rPr>
              <w:t>3、水环境影响情况分析</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项目运行期主要污水为升压站内员工生活污水，生活污水量为</w:t>
            </w:r>
            <w:r>
              <w:rPr>
                <w:rFonts w:hint="eastAsia" w:eastAsia="仿宋" w:cs="Times New Roman"/>
                <w:color w:val="auto"/>
                <w:sz w:val="24"/>
                <w:lang w:val="en-US" w:eastAsia="zh-CN"/>
              </w:rPr>
              <w:t>0.9</w:t>
            </w:r>
            <w:r>
              <w:rPr>
                <w:rFonts w:hint="default" w:ascii="Times New Roman" w:hAnsi="Times New Roman" w:eastAsia="仿宋" w:cs="Times New Roman"/>
                <w:color w:val="auto"/>
                <w:sz w:val="24"/>
              </w:rPr>
              <w:t>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/d，</w:t>
            </w:r>
            <w:r>
              <w:rPr>
                <w:rFonts w:hint="eastAsia" w:eastAsia="仿宋" w:cs="Times New Roman"/>
                <w:color w:val="auto"/>
                <w:sz w:val="24"/>
                <w:lang w:val="en-US" w:eastAsia="zh-CN"/>
              </w:rPr>
              <w:t>328.5</w:t>
            </w:r>
            <w:r>
              <w:rPr>
                <w:rFonts w:hint="default" w:ascii="Times New Roman" w:hAnsi="Times New Roman" w:eastAsia="仿宋" w:cs="Times New Roman"/>
                <w:color w:val="auto"/>
                <w:sz w:val="24"/>
              </w:rPr>
              <w:t>t/a。本项目升压站内拟设置隔油池、化粪池+地埋式一体化污水处理设备对生活污水进行处理。</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地埋式污水处理一体化设备采用生物处理工艺，集去除BOD</w:t>
            </w:r>
            <w:r>
              <w:rPr>
                <w:rFonts w:hint="default" w:ascii="Times New Roman" w:hAnsi="Times New Roman" w:eastAsia="仿宋" w:cs="Times New Roman"/>
                <w:color w:val="auto"/>
                <w:sz w:val="24"/>
                <w:vertAlign w:val="subscript"/>
              </w:rPr>
              <w:t>5</w:t>
            </w:r>
            <w:r>
              <w:rPr>
                <w:rFonts w:hint="default" w:ascii="Times New Roman" w:hAnsi="Times New Roman" w:eastAsia="仿宋" w:cs="Times New Roman"/>
                <w:color w:val="auto"/>
                <w:sz w:val="24"/>
              </w:rPr>
              <w:t>、COD、NH</w:t>
            </w:r>
            <w:r>
              <w:rPr>
                <w:rFonts w:hint="default" w:ascii="Times New Roman" w:hAnsi="Times New Roman" w:eastAsia="仿宋" w:cs="Times New Roman"/>
                <w:color w:val="auto"/>
                <w:sz w:val="24"/>
                <w:vertAlign w:val="subscript"/>
              </w:rPr>
              <w:t>3</w:t>
            </w:r>
            <w:r>
              <w:rPr>
                <w:rFonts w:hint="default" w:ascii="Times New Roman" w:hAnsi="Times New Roman" w:eastAsia="仿宋" w:cs="Times New Roman"/>
                <w:color w:val="auto"/>
                <w:sz w:val="24"/>
              </w:rPr>
              <w:t>-N于一身。系列污水处理设备由二级池子组成，一级为钢筋混凝土结构，埋深较大，另一组为钢结构，埋深较浅。</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系列污水处理设备中的AO生物处理工艺采用推流式生物接触氧化池，它的处理优于完全混合式或二、三级串联完全混合式生物接触氧化池。并且它比活性污泥池体积小，对水质适应性强，耐冲击性能好，出水水质稳定，不会产生污泥膨胀。</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系统污水处理设备去除有机污染物及氨氮主要依赖于设备中的AO生物处理工艺。其中工作原理是在A级，由于污水有机物浓度很高，微生物处于缺氧状态，此时微生物为兼性微生物，它们将污水中的有机氮转化分解成NH</w:t>
            </w:r>
            <w:r>
              <w:rPr>
                <w:rFonts w:hint="default" w:ascii="Times New Roman" w:hAnsi="Times New Roman" w:eastAsia="仿宋" w:cs="Times New Roman"/>
                <w:color w:val="auto"/>
                <w:sz w:val="24"/>
                <w:vertAlign w:val="subscript"/>
              </w:rPr>
              <w:t>3</w:t>
            </w:r>
            <w:r>
              <w:rPr>
                <w:rFonts w:hint="default" w:ascii="Times New Roman" w:hAnsi="Times New Roman" w:eastAsia="仿宋" w:cs="Times New Roman"/>
                <w:color w:val="auto"/>
                <w:sz w:val="24"/>
              </w:rPr>
              <w:t>-N，同时利用有机碳作为电子供体，将NO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-N、NO</w:t>
            </w:r>
            <w:r>
              <w:rPr>
                <w:rFonts w:hint="default" w:ascii="Times New Roman" w:hAnsi="Times New Roman" w:eastAsia="仿宋" w:cs="Times New Roman"/>
                <w:color w:val="auto"/>
                <w:sz w:val="24"/>
                <w:vertAlign w:val="subscript"/>
              </w:rPr>
              <w:t>3</w:t>
            </w:r>
            <w:r>
              <w:rPr>
                <w:rFonts w:hint="default" w:ascii="Times New Roman" w:hAnsi="Times New Roman" w:eastAsia="仿宋" w:cs="Times New Roman"/>
                <w:color w:val="auto"/>
                <w:sz w:val="24"/>
              </w:rPr>
              <w:t>-N转化为N</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，而且还利用部分有机碳源和NH</w:t>
            </w:r>
            <w:r>
              <w:rPr>
                <w:rFonts w:hint="default" w:ascii="Times New Roman" w:hAnsi="Times New Roman" w:eastAsia="仿宋" w:cs="Times New Roman"/>
                <w:color w:val="auto"/>
                <w:sz w:val="24"/>
                <w:vertAlign w:val="subscript"/>
              </w:rPr>
              <w:t>3</w:t>
            </w:r>
            <w:r>
              <w:rPr>
                <w:rFonts w:hint="default" w:ascii="Times New Roman" w:hAnsi="Times New Roman" w:eastAsia="仿宋" w:cs="Times New Roman"/>
                <w:color w:val="auto"/>
                <w:sz w:val="24"/>
              </w:rPr>
              <w:t>-N合成新的细胞物质。所以A级池不仅具有一定的有机物去除功能，减轻后续好氧池的有机负荷，以利于硝化作用的进行，而且依靠原水中存在较高浓度有机物，完成反硝化作用，最终消除氮的富营养化污染。在O级，由于有机物浓度已大幅度降低，但仍有一定量的有机物及较高NH</w:t>
            </w:r>
            <w:r>
              <w:rPr>
                <w:rFonts w:hint="default" w:ascii="Times New Roman" w:hAnsi="Times New Roman" w:eastAsia="仿宋" w:cs="Times New Roman"/>
                <w:color w:val="auto"/>
                <w:sz w:val="24"/>
                <w:vertAlign w:val="subscript"/>
              </w:rPr>
              <w:t>3</w:t>
            </w:r>
            <w:r>
              <w:rPr>
                <w:rFonts w:hint="default" w:ascii="Times New Roman" w:hAnsi="Times New Roman" w:eastAsia="仿宋" w:cs="Times New Roman"/>
                <w:color w:val="auto"/>
                <w:sz w:val="24"/>
              </w:rPr>
              <w:t>-N存在。为了使有机物得到进一步氧化分解，同时在碳化作用处于完成情况下硝化作用能顺利进行，在O级设置有机负荷较低的好氧生物接触氧化池。在O级池中主要存在好氧微生物及自养型细菌（硝化菌）。其中好氧微生物将有机物分解成C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和H</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O，自养型细菌（硝化菌）利用有机物分解产生的无机碳或空气中的CO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作为营养源，将污水中的NH</w:t>
            </w:r>
            <w:r>
              <w:rPr>
                <w:rFonts w:hint="default" w:ascii="Times New Roman" w:hAnsi="Times New Roman" w:eastAsia="仿宋" w:cs="Times New Roman"/>
                <w:color w:val="auto"/>
                <w:sz w:val="24"/>
                <w:vertAlign w:val="subscript"/>
              </w:rPr>
              <w:t>3</w:t>
            </w:r>
            <w:r>
              <w:rPr>
                <w:rFonts w:hint="default" w:ascii="Times New Roman" w:hAnsi="Times New Roman" w:eastAsia="仿宋" w:cs="Times New Roman"/>
                <w:color w:val="auto"/>
                <w:sz w:val="24"/>
              </w:rPr>
              <w:t>-N转化成NO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-N/NO</w:t>
            </w:r>
            <w:r>
              <w:rPr>
                <w:rFonts w:hint="default" w:ascii="Times New Roman" w:hAnsi="Times New Roman" w:eastAsia="仿宋" w:cs="Times New Roman"/>
                <w:color w:val="auto"/>
                <w:sz w:val="24"/>
                <w:vertAlign w:val="subscript"/>
              </w:rPr>
              <w:t>3</w:t>
            </w:r>
            <w:r>
              <w:rPr>
                <w:rFonts w:hint="default" w:ascii="Times New Roman" w:hAnsi="Times New Roman" w:eastAsia="仿宋" w:cs="Times New Roman"/>
                <w:color w:val="auto"/>
                <w:sz w:val="24"/>
              </w:rPr>
              <w:t>-N，O级池的出水部分回流到A级池，为A级池提供电子受体，通过反硝化作用最终消除氮污染。</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达标可行性见表4-11，生活污水处理流程见图4-3。</w:t>
            </w:r>
          </w:p>
          <w:p>
            <w:pPr>
              <w:spacing w:line="360" w:lineRule="auto"/>
              <w:ind w:firstLine="422" w:firstLineChars="20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表4-11  废水处理达标可行性一览表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648"/>
              <w:gridCol w:w="1367"/>
              <w:gridCol w:w="919"/>
              <w:gridCol w:w="1058"/>
              <w:gridCol w:w="1058"/>
              <w:gridCol w:w="1071"/>
              <w:gridCol w:w="11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序号</w:t>
                  </w:r>
                </w:p>
              </w:tc>
              <w:tc>
                <w:tcPr>
                  <w:tcW w:w="1678" w:type="dxa"/>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名称</w:t>
                  </w:r>
                </w:p>
              </w:tc>
              <w:tc>
                <w:tcPr>
                  <w:tcW w:w="1374" w:type="dxa"/>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项目</w:t>
                  </w:r>
                </w:p>
              </w:tc>
              <w:tc>
                <w:tcPr>
                  <w:tcW w:w="923" w:type="dxa"/>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COD</w:t>
                  </w:r>
                </w:p>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(mg/l)</w:t>
                  </w:r>
                </w:p>
              </w:tc>
              <w:tc>
                <w:tcPr>
                  <w:tcW w:w="1059" w:type="dxa"/>
                  <w:vAlign w:val="center"/>
                </w:tcPr>
                <w:p>
                  <w:pPr>
                    <w:jc w:val="center"/>
                    <w:rPr>
                      <w:rFonts w:hint="default" w:ascii="Times New Roman" w:hAnsi="Times New Roman" w:eastAsia="仿宋" w:cs="Times New Roman"/>
                      <w:b/>
                      <w:color w:val="auto"/>
                      <w:szCs w:val="21"/>
                      <w:vertAlign w:val="subscript"/>
                    </w:rPr>
                  </w:pPr>
                  <w:r>
                    <w:rPr>
                      <w:rFonts w:hint="default" w:ascii="Times New Roman" w:hAnsi="Times New Roman" w:eastAsia="仿宋" w:cs="Times New Roman"/>
                      <w:b/>
                      <w:color w:val="auto"/>
                      <w:szCs w:val="21"/>
                    </w:rPr>
                    <w:t>BOD</w:t>
                  </w:r>
                  <w:r>
                    <w:rPr>
                      <w:rFonts w:hint="default" w:ascii="Times New Roman" w:hAnsi="Times New Roman" w:eastAsia="仿宋" w:cs="Times New Roman"/>
                      <w:b/>
                      <w:color w:val="auto"/>
                      <w:szCs w:val="21"/>
                      <w:vertAlign w:val="subscript"/>
                    </w:rPr>
                    <w:t>5</w:t>
                  </w:r>
                </w:p>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（mg/l）</w:t>
                  </w:r>
                </w:p>
              </w:tc>
              <w:tc>
                <w:tcPr>
                  <w:tcW w:w="1059" w:type="dxa"/>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SS</w:t>
                  </w:r>
                </w:p>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（mg/l）</w:t>
                  </w:r>
                </w:p>
              </w:tc>
              <w:tc>
                <w:tcPr>
                  <w:tcW w:w="1072" w:type="dxa"/>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NH</w:t>
                  </w:r>
                  <w:r>
                    <w:rPr>
                      <w:rFonts w:hint="default" w:ascii="Times New Roman" w:hAnsi="Times New Roman" w:eastAsia="仿宋" w:cs="Times New Roman"/>
                      <w:b/>
                      <w:color w:val="auto"/>
                      <w:szCs w:val="21"/>
                      <w:vertAlign w:val="subscript"/>
                    </w:rPr>
                    <w:t>3</w:t>
                  </w:r>
                  <w:r>
                    <w:rPr>
                      <w:rFonts w:hint="default" w:ascii="Times New Roman" w:hAnsi="Times New Roman" w:eastAsia="仿宋" w:cs="Times New Roman"/>
                      <w:b/>
                      <w:color w:val="auto"/>
                      <w:szCs w:val="21"/>
                    </w:rPr>
                    <w:t>-N</w:t>
                  </w:r>
                </w:p>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（mg/l）</w:t>
                  </w:r>
                </w:p>
              </w:tc>
              <w:tc>
                <w:tcPr>
                  <w:tcW w:w="1177" w:type="dxa"/>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动植物油（mg/l）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restar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1678" w:type="dxa"/>
                  <w:vMerge w:val="restar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隔油池</w:t>
                  </w: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进水（mg/L）</w:t>
                  </w:r>
                </w:p>
              </w:tc>
              <w:tc>
                <w:tcPr>
                  <w:tcW w:w="923"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zCs w:val="21"/>
                    </w:rPr>
                    <w:t>300</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250</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continue"/>
                  <w:vAlign w:val="center"/>
                </w:tcPr>
                <w:p>
                  <w:pPr>
                    <w:jc w:val="center"/>
                    <w:rPr>
                      <w:rFonts w:hint="default" w:ascii="Times New Roman" w:hAnsi="Times New Roman" w:eastAsia="仿宋" w:cs="Times New Roman"/>
                      <w:color w:val="auto"/>
                      <w:szCs w:val="21"/>
                    </w:rPr>
                  </w:pPr>
                </w:p>
              </w:tc>
              <w:tc>
                <w:tcPr>
                  <w:tcW w:w="1678" w:type="dxa"/>
                  <w:vMerge w:val="continue"/>
                  <w:vAlign w:val="center"/>
                </w:tcPr>
                <w:p>
                  <w:pPr>
                    <w:jc w:val="center"/>
                    <w:rPr>
                      <w:rFonts w:hint="default" w:ascii="Times New Roman" w:hAnsi="Times New Roman" w:eastAsia="仿宋" w:cs="Times New Roman"/>
                      <w:color w:val="auto"/>
                      <w:szCs w:val="21"/>
                    </w:rPr>
                  </w:pP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出水（mg/L）</w:t>
                  </w:r>
                </w:p>
              </w:tc>
              <w:tc>
                <w:tcPr>
                  <w:tcW w:w="923"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300</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250</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continue"/>
                  <w:vAlign w:val="center"/>
                </w:tcPr>
                <w:p>
                  <w:pPr>
                    <w:jc w:val="center"/>
                    <w:rPr>
                      <w:rFonts w:hint="default" w:ascii="Times New Roman" w:hAnsi="Times New Roman" w:eastAsia="仿宋" w:cs="Times New Roman"/>
                      <w:color w:val="auto"/>
                      <w:szCs w:val="21"/>
                    </w:rPr>
                  </w:pPr>
                </w:p>
              </w:tc>
              <w:tc>
                <w:tcPr>
                  <w:tcW w:w="1678" w:type="dxa"/>
                  <w:vMerge w:val="continue"/>
                  <w:vAlign w:val="center"/>
                </w:tcPr>
                <w:p>
                  <w:pPr>
                    <w:jc w:val="center"/>
                    <w:rPr>
                      <w:rFonts w:hint="default" w:ascii="Times New Roman" w:hAnsi="Times New Roman" w:eastAsia="仿宋" w:cs="Times New Roman"/>
                      <w:color w:val="auto"/>
                      <w:szCs w:val="21"/>
                    </w:rPr>
                  </w:pP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去除率%</w:t>
                  </w:r>
                </w:p>
              </w:tc>
              <w:tc>
                <w:tcPr>
                  <w:tcW w:w="923"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restar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678" w:type="dxa"/>
                  <w:vMerge w:val="restar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化粪池</w:t>
                  </w: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进水（mg/L）</w:t>
                  </w:r>
                </w:p>
              </w:tc>
              <w:tc>
                <w:tcPr>
                  <w:tcW w:w="923"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zCs w:val="21"/>
                    </w:rPr>
                    <w:t>300</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250</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84" w:type="dxa"/>
                  <w:vMerge w:val="continue"/>
                  <w:vAlign w:val="center"/>
                </w:tcPr>
                <w:p>
                  <w:pPr>
                    <w:jc w:val="center"/>
                    <w:rPr>
                      <w:rFonts w:hint="default" w:ascii="Times New Roman" w:hAnsi="Times New Roman" w:eastAsia="仿宋" w:cs="Times New Roman"/>
                      <w:color w:val="auto"/>
                      <w:szCs w:val="21"/>
                    </w:rPr>
                  </w:pPr>
                </w:p>
              </w:tc>
              <w:tc>
                <w:tcPr>
                  <w:tcW w:w="1678" w:type="dxa"/>
                  <w:vMerge w:val="continue"/>
                  <w:vAlign w:val="center"/>
                </w:tcPr>
                <w:p>
                  <w:pPr>
                    <w:jc w:val="center"/>
                    <w:rPr>
                      <w:rFonts w:hint="default" w:ascii="Times New Roman" w:hAnsi="Times New Roman" w:eastAsia="仿宋" w:cs="Times New Roman"/>
                      <w:color w:val="auto"/>
                      <w:szCs w:val="21"/>
                    </w:rPr>
                  </w:pP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出水（mg/L）</w:t>
                  </w:r>
                </w:p>
              </w:tc>
              <w:tc>
                <w:tcPr>
                  <w:tcW w:w="923"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255</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136.5</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175</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24.25</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continue"/>
                  <w:vAlign w:val="center"/>
                </w:tcPr>
                <w:p>
                  <w:pPr>
                    <w:jc w:val="center"/>
                    <w:rPr>
                      <w:rFonts w:hint="default" w:ascii="Times New Roman" w:hAnsi="Times New Roman" w:eastAsia="仿宋" w:cs="Times New Roman"/>
                      <w:color w:val="auto"/>
                      <w:szCs w:val="21"/>
                    </w:rPr>
                  </w:pPr>
                </w:p>
              </w:tc>
              <w:tc>
                <w:tcPr>
                  <w:tcW w:w="1678" w:type="dxa"/>
                  <w:vMerge w:val="continue"/>
                  <w:vAlign w:val="center"/>
                </w:tcPr>
                <w:p>
                  <w:pPr>
                    <w:jc w:val="center"/>
                    <w:rPr>
                      <w:rFonts w:hint="default" w:ascii="Times New Roman" w:hAnsi="Times New Roman" w:eastAsia="仿宋" w:cs="Times New Roman"/>
                      <w:color w:val="auto"/>
                      <w:szCs w:val="21"/>
                    </w:rPr>
                  </w:pP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去除率%</w:t>
                  </w:r>
                </w:p>
              </w:tc>
              <w:tc>
                <w:tcPr>
                  <w:tcW w:w="923"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restar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1678" w:type="dxa"/>
                  <w:vMerge w:val="restar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地埋式污水处理设备</w:t>
                  </w: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进水（mg/L）</w:t>
                  </w:r>
                </w:p>
              </w:tc>
              <w:tc>
                <w:tcPr>
                  <w:tcW w:w="923" w:type="dxa"/>
                  <w:vAlign w:val="center"/>
                </w:tcPr>
                <w:p>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zCs w:val="21"/>
                    </w:rPr>
                    <w:t>255</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136.5</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175</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24.25</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continue"/>
                  <w:vAlign w:val="center"/>
                </w:tcPr>
                <w:p>
                  <w:pPr>
                    <w:jc w:val="center"/>
                    <w:rPr>
                      <w:rFonts w:hint="default" w:ascii="Times New Roman" w:hAnsi="Times New Roman" w:eastAsia="仿宋" w:cs="Times New Roman"/>
                      <w:color w:val="auto"/>
                      <w:szCs w:val="21"/>
                    </w:rPr>
                  </w:pPr>
                </w:p>
              </w:tc>
              <w:tc>
                <w:tcPr>
                  <w:tcW w:w="1678" w:type="dxa"/>
                  <w:vMerge w:val="continue"/>
                  <w:vAlign w:val="center"/>
                </w:tcPr>
                <w:p>
                  <w:pPr>
                    <w:jc w:val="center"/>
                    <w:rPr>
                      <w:rFonts w:hint="default" w:ascii="Times New Roman" w:hAnsi="Times New Roman" w:eastAsia="仿宋" w:cs="Times New Roman"/>
                      <w:color w:val="auto"/>
                      <w:szCs w:val="21"/>
                    </w:rPr>
                  </w:pP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出水（mg/L）</w:t>
                  </w:r>
                </w:p>
              </w:tc>
              <w:tc>
                <w:tcPr>
                  <w:tcW w:w="923"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51</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16.38</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17.5</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12.13</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vMerge w:val="continue"/>
                  <w:vAlign w:val="center"/>
                </w:tcPr>
                <w:p>
                  <w:pPr>
                    <w:jc w:val="center"/>
                    <w:rPr>
                      <w:rFonts w:hint="default" w:ascii="Times New Roman" w:hAnsi="Times New Roman" w:eastAsia="仿宋" w:cs="Times New Roman"/>
                      <w:color w:val="auto"/>
                      <w:szCs w:val="21"/>
                    </w:rPr>
                  </w:pPr>
                </w:p>
              </w:tc>
              <w:tc>
                <w:tcPr>
                  <w:tcW w:w="1678" w:type="dxa"/>
                  <w:vMerge w:val="continue"/>
                  <w:vAlign w:val="center"/>
                </w:tcPr>
                <w:p>
                  <w:pPr>
                    <w:jc w:val="center"/>
                    <w:rPr>
                      <w:rFonts w:hint="default" w:ascii="Times New Roman" w:hAnsi="Times New Roman" w:eastAsia="仿宋" w:cs="Times New Roman"/>
                      <w:color w:val="auto"/>
                      <w:szCs w:val="21"/>
                    </w:rPr>
                  </w:pPr>
                </w:p>
              </w:tc>
              <w:tc>
                <w:tcPr>
                  <w:tcW w:w="1374"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去除率%</w:t>
                  </w:r>
                </w:p>
              </w:tc>
              <w:tc>
                <w:tcPr>
                  <w:tcW w:w="923"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88</w:t>
                  </w:r>
                </w:p>
              </w:tc>
              <w:tc>
                <w:tcPr>
                  <w:tcW w:w="1059"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w:t>
                  </w:r>
                </w:p>
              </w:tc>
              <w:tc>
                <w:tcPr>
                  <w:tcW w:w="1072"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w:t>
                  </w:r>
                </w:p>
              </w:tc>
              <w:tc>
                <w:tcPr>
                  <w:tcW w:w="11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r>
          </w:tbl>
          <w:p>
            <w:pPr>
              <w:pStyle w:val="29"/>
              <w:rPr>
                <w:rFonts w:hint="default" w:ascii="Times New Roman" w:hAnsi="Times New Roman" w:eastAsia="仿宋" w:cs="Times New Roman"/>
                <w:b/>
                <w:color w:val="auto"/>
              </w:rPr>
            </w:pPr>
          </w:p>
          <w:p>
            <w:pPr>
              <w:spacing w:line="360" w:lineRule="auto"/>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drawing>
                <wp:inline distT="0" distB="0" distL="114300" distR="114300">
                  <wp:extent cx="2211070" cy="4505325"/>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3"/>
                          <a:srcRect r="45252"/>
                          <a:stretch>
                            <a:fillRect/>
                          </a:stretch>
                        </pic:blipFill>
                        <pic:spPr>
                          <a:xfrm>
                            <a:off x="0" y="0"/>
                            <a:ext cx="2211070" cy="4505325"/>
                          </a:xfrm>
                          <a:prstGeom prst="rect">
                            <a:avLst/>
                          </a:prstGeom>
                          <a:noFill/>
                          <a:ln>
                            <a:noFill/>
                          </a:ln>
                        </pic:spPr>
                      </pic:pic>
                    </a:graphicData>
                  </a:graphic>
                </wp:inline>
              </w:drawing>
            </w:r>
          </w:p>
          <w:p>
            <w:pPr>
              <w:spacing w:line="360" w:lineRule="auto"/>
              <w:ind w:firstLine="422" w:firstLineChars="20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图4-3 生活污水处理流程</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生活污水经处理后满足《农田灌溉水质标准》（GB5084-2021）中</w:t>
            </w:r>
            <w:r>
              <w:rPr>
                <w:rFonts w:hint="eastAsia" w:eastAsia="仿宋" w:cs="Times New Roman"/>
                <w:color w:val="auto"/>
                <w:sz w:val="24"/>
                <w:lang w:val="en-US" w:eastAsia="zh-CN"/>
              </w:rPr>
              <w:t>旱地作物</w:t>
            </w:r>
            <w:r>
              <w:rPr>
                <w:rFonts w:hint="default" w:ascii="Times New Roman" w:hAnsi="Times New Roman" w:eastAsia="仿宋" w:cs="Times New Roman"/>
                <w:color w:val="auto"/>
                <w:sz w:val="24"/>
              </w:rPr>
              <w:t>标准</w:t>
            </w:r>
            <w:r>
              <w:rPr>
                <w:rFonts w:hint="eastAsia" w:eastAsia="仿宋" w:cs="Times New Roman"/>
                <w:color w:val="auto"/>
                <w:sz w:val="24"/>
                <w:lang w:eastAsia="zh-CN"/>
              </w:rPr>
              <w:t>（</w:t>
            </w:r>
            <w:r>
              <w:rPr>
                <w:rFonts w:hint="default" w:ascii="Times New Roman" w:hAnsi="Times New Roman" w:eastAsia="仿宋" w:cs="Times New Roman"/>
                <w:color w:val="auto"/>
                <w:sz w:val="24"/>
              </w:rPr>
              <w:t>即BOD</w:t>
            </w:r>
            <w:r>
              <w:rPr>
                <w:rFonts w:hint="default" w:ascii="Times New Roman" w:hAnsi="Times New Roman" w:eastAsia="仿宋" w:cs="Times New Roman"/>
                <w:color w:val="auto"/>
                <w:sz w:val="24"/>
                <w:vertAlign w:val="subscript"/>
              </w:rPr>
              <w:t>5</w:t>
            </w:r>
            <w:r>
              <w:rPr>
                <w:rFonts w:hint="default" w:ascii="Times New Roman" w:hAnsi="Times New Roman" w:eastAsia="仿宋" w:cs="Times New Roman"/>
                <w:color w:val="auto"/>
                <w:sz w:val="24"/>
              </w:rPr>
              <w:t>&lt;</w:t>
            </w:r>
            <w:r>
              <w:rPr>
                <w:rFonts w:hint="eastAsia" w:eastAsia="仿宋" w:cs="Times New Roman"/>
                <w:color w:val="auto"/>
                <w:sz w:val="24"/>
                <w:lang w:val="en-US" w:eastAsia="zh-CN"/>
              </w:rPr>
              <w:t>100</w:t>
            </w:r>
            <w:r>
              <w:rPr>
                <w:rFonts w:hint="default" w:ascii="Times New Roman" w:hAnsi="Times New Roman" w:eastAsia="仿宋" w:cs="Times New Roman"/>
                <w:color w:val="auto"/>
                <w:sz w:val="24"/>
              </w:rPr>
              <w:t>mg/L、</w:t>
            </w:r>
            <w:r>
              <w:rPr>
                <w:rFonts w:hint="eastAsia" w:eastAsia="仿宋" w:cs="Times New Roman"/>
                <w:color w:val="auto"/>
                <w:sz w:val="24"/>
                <w:lang w:val="en-US" w:eastAsia="zh-CN"/>
              </w:rPr>
              <w:t>SS</w:t>
            </w:r>
            <w:r>
              <w:rPr>
                <w:rFonts w:hint="default" w:ascii="Times New Roman" w:hAnsi="Times New Roman" w:eastAsia="仿宋" w:cs="Times New Roman"/>
                <w:color w:val="auto"/>
                <w:sz w:val="24"/>
              </w:rPr>
              <w:t>&lt;</w:t>
            </w:r>
            <w:r>
              <w:rPr>
                <w:rFonts w:hint="eastAsia" w:eastAsia="仿宋" w:cs="Times New Roman"/>
                <w:color w:val="auto"/>
                <w:sz w:val="24"/>
                <w:lang w:val="en-US" w:eastAsia="zh-CN"/>
              </w:rPr>
              <w:t>100</w:t>
            </w:r>
            <w:r>
              <w:rPr>
                <w:rFonts w:hint="default" w:ascii="Times New Roman" w:hAnsi="Times New Roman" w:eastAsia="仿宋" w:cs="Times New Roman"/>
                <w:color w:val="auto"/>
                <w:sz w:val="24"/>
              </w:rPr>
              <w:t>mg/L</w:t>
            </w:r>
            <w:r>
              <w:rPr>
                <w:rFonts w:hint="eastAsia" w:eastAsia="仿宋" w:cs="Times New Roman"/>
                <w:color w:val="auto"/>
                <w:sz w:val="24"/>
                <w:lang w:eastAsia="zh-CN"/>
              </w:rPr>
              <w:t>），</w:t>
            </w:r>
            <w:r>
              <w:rPr>
                <w:rFonts w:hint="default" w:ascii="Times New Roman" w:hAnsi="Times New Roman" w:eastAsia="仿宋" w:cs="Times New Roman"/>
                <w:color w:val="auto"/>
                <w:sz w:val="24"/>
              </w:rPr>
              <w:t>用作站区及附近绿化浇洒。</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4、声环境影响情况分析</w:t>
            </w:r>
          </w:p>
          <w:p>
            <w:pPr>
              <w:spacing w:line="360" w:lineRule="auto"/>
              <w:rPr>
                <w:rFonts w:hint="default" w:ascii="Times New Roman" w:hAnsi="Times New Roman" w:eastAsia="仿宋" w:cs="Times New Roman"/>
                <w:b/>
                <w:color w:val="auto"/>
                <w:sz w:val="24"/>
              </w:rPr>
            </w:pPr>
            <w:bookmarkStart w:id="14" w:name="_Toc437420212"/>
            <w:bookmarkStart w:id="15" w:name="_Toc436311864"/>
            <w:r>
              <w:rPr>
                <w:rFonts w:hint="default" w:ascii="Times New Roman" w:hAnsi="Times New Roman" w:eastAsia="仿宋" w:cs="Times New Roman"/>
                <w:b/>
                <w:color w:val="auto"/>
                <w:sz w:val="24"/>
              </w:rPr>
              <w:t>4.1风机噪声</w:t>
            </w:r>
          </w:p>
          <w:bookmarkEnd w:id="14"/>
          <w:bookmarkEnd w:id="15"/>
          <w:p>
            <w:pPr>
              <w:autoSpaceDE w:val="0"/>
              <w:autoSpaceDN w:val="0"/>
              <w:spacing w:line="360" w:lineRule="auto"/>
              <w:ind w:left="48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1）噪声设备</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本工程风力发电机组</w:t>
            </w:r>
            <w:r>
              <w:rPr>
                <w:rFonts w:hint="eastAsia" w:eastAsia="仿宋" w:cs="Times New Roman"/>
                <w:color w:val="auto"/>
                <w:sz w:val="24"/>
                <w:lang w:val="en-US" w:eastAsia="zh-CN"/>
              </w:rPr>
              <w:t>为10台</w:t>
            </w:r>
            <w:r>
              <w:rPr>
                <w:rFonts w:hint="default" w:ascii="Times New Roman" w:hAnsi="Times New Roman" w:eastAsia="仿宋" w:cs="Times New Roman"/>
                <w:color w:val="auto"/>
                <w:sz w:val="24"/>
              </w:rPr>
              <w:t>单机容量为</w:t>
            </w:r>
            <w:r>
              <w:rPr>
                <w:rFonts w:hint="eastAsia" w:eastAsia="仿宋" w:cs="Times New Roman"/>
                <w:color w:val="auto"/>
                <w:sz w:val="24"/>
                <w:lang w:eastAsia="zh-CN"/>
              </w:rPr>
              <w:t>5.0MW</w:t>
            </w:r>
            <w:r>
              <w:rPr>
                <w:rFonts w:hint="default" w:ascii="Times New Roman" w:hAnsi="Times New Roman" w:eastAsia="仿宋" w:cs="Times New Roman"/>
                <w:color w:val="auto"/>
                <w:sz w:val="24"/>
              </w:rPr>
              <w:t>，参考国内同类风机噪声，本项目单台</w:t>
            </w:r>
            <w:r>
              <w:rPr>
                <w:rFonts w:hint="eastAsia" w:eastAsia="仿宋" w:cs="Times New Roman"/>
                <w:color w:val="auto"/>
                <w:sz w:val="24"/>
                <w:lang w:val="en-US" w:eastAsia="zh-CN"/>
              </w:rPr>
              <w:t>5MW</w:t>
            </w:r>
            <w:r>
              <w:rPr>
                <w:rFonts w:hint="default" w:ascii="Times New Roman" w:hAnsi="Times New Roman" w:eastAsia="仿宋" w:cs="Times New Roman"/>
                <w:color w:val="auto"/>
                <w:sz w:val="24"/>
              </w:rPr>
              <w:t>风机满负荷运行状态下声功率级为10</w:t>
            </w:r>
            <w:r>
              <w:rPr>
                <w:rFonts w:hint="eastAsia" w:eastAsia="仿宋" w:cs="Times New Roman"/>
                <w:color w:val="auto"/>
                <w:sz w:val="24"/>
                <w:lang w:val="en-US" w:eastAsia="zh-CN"/>
              </w:rPr>
              <w:t>6</w:t>
            </w:r>
            <w:r>
              <w:rPr>
                <w:rFonts w:hint="default" w:ascii="Times New Roman" w:hAnsi="Times New Roman" w:eastAsia="仿宋" w:cs="Times New Roman"/>
                <w:color w:val="auto"/>
                <w:sz w:val="24"/>
              </w:rPr>
              <w:t>dB（A）。</w:t>
            </w:r>
          </w:p>
          <w:p>
            <w:pPr>
              <w:adjustRightInd w:val="0"/>
              <w:snapToGrid w:val="0"/>
              <w:jc w:val="center"/>
              <w:rPr>
                <w:rFonts w:hint="default" w:ascii="Times New Roman" w:hAnsi="Times New Roman" w:eastAsia="仿宋" w:cs="Times New Roman"/>
                <w:b/>
                <w:bCs/>
                <w:color w:val="auto"/>
                <w:szCs w:val="21"/>
                <w:lang w:val="en-US" w:eastAsia="zh-CN"/>
              </w:rPr>
            </w:pPr>
            <w:r>
              <w:rPr>
                <w:rFonts w:hint="eastAsia" w:eastAsia="仿宋" w:cs="Times New Roman"/>
                <w:b/>
                <w:bCs/>
                <w:color w:val="auto"/>
                <w:szCs w:val="21"/>
                <w:lang w:val="en-US" w:eastAsia="zh-CN"/>
              </w:rPr>
              <w:t>表4-12 风机</w:t>
            </w:r>
            <w:r>
              <w:rPr>
                <w:rFonts w:hint="eastAsia" w:ascii="Times New Roman" w:hAnsi="Times New Roman" w:eastAsia="仿宋" w:cs="Times New Roman"/>
                <w:b/>
                <w:bCs/>
                <w:color w:val="auto"/>
                <w:szCs w:val="21"/>
                <w:lang w:val="en-US" w:eastAsia="zh-CN"/>
              </w:rPr>
              <w:t>噪声源强调查清单</w:t>
            </w:r>
          </w:p>
          <w:tbl>
            <w:tblPr>
              <w:tblStyle w:val="2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764"/>
              <w:gridCol w:w="1024"/>
              <w:gridCol w:w="715"/>
              <w:gridCol w:w="715"/>
              <w:gridCol w:w="715"/>
              <w:gridCol w:w="1211"/>
              <w:gridCol w:w="974"/>
              <w:gridCol w:w="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387" w:type="pct"/>
                  <w:vMerge w:val="restar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序号</w:t>
                  </w:r>
                </w:p>
              </w:tc>
              <w:tc>
                <w:tcPr>
                  <w:tcW w:w="1005"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声源名称</w:t>
                  </w:r>
                </w:p>
              </w:tc>
              <w:tc>
                <w:tcPr>
                  <w:tcW w:w="583"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型号</w:t>
                  </w:r>
                </w:p>
              </w:tc>
              <w:tc>
                <w:tcPr>
                  <w:tcW w:w="1221" w:type="pct"/>
                  <w:gridSpan w:val="3"/>
                  <w:vAlign w:val="center"/>
                </w:tcPr>
                <w:p>
                  <w:pPr>
                    <w:pStyle w:val="54"/>
                    <w:spacing w:line="240" w:lineRule="auto"/>
                    <w:ind w:firstLine="0" w:firstLineChars="0"/>
                    <w:jc w:val="center"/>
                    <w:rPr>
                      <w:rFonts w:hint="eastAsia" w:eastAsia="仿宋" w:cs="Times New Roman"/>
                      <w:b/>
                      <w:bCs/>
                      <w:color w:val="auto"/>
                      <w:sz w:val="21"/>
                      <w:szCs w:val="16"/>
                      <w:lang w:val="en-US" w:eastAsia="zh-CN"/>
                    </w:rPr>
                  </w:pPr>
                  <w:r>
                    <w:rPr>
                      <w:rFonts w:hint="eastAsia" w:eastAsia="仿宋" w:cs="Times New Roman"/>
                      <w:b/>
                      <w:bCs/>
                      <w:color w:val="auto"/>
                      <w:sz w:val="21"/>
                      <w:szCs w:val="16"/>
                      <w:lang w:val="en-US" w:eastAsia="zh-CN"/>
                    </w:rPr>
                    <w:t>空间相对位置/m</w:t>
                  </w:r>
                </w:p>
              </w:tc>
              <w:tc>
                <w:tcPr>
                  <w:tcW w:w="690" w:type="pc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声源源强</w:t>
                  </w:r>
                </w:p>
              </w:tc>
              <w:tc>
                <w:tcPr>
                  <w:tcW w:w="555"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声源控制措施</w:t>
                  </w:r>
                </w:p>
              </w:tc>
              <w:tc>
                <w:tcPr>
                  <w:tcW w:w="555"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7"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1005"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583"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407" w:type="pc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X</w:t>
                  </w:r>
                </w:p>
              </w:tc>
              <w:tc>
                <w:tcPr>
                  <w:tcW w:w="407" w:type="pc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Y</w:t>
                  </w:r>
                </w:p>
              </w:tc>
              <w:tc>
                <w:tcPr>
                  <w:tcW w:w="407" w:type="pc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Z</w:t>
                  </w:r>
                </w:p>
              </w:tc>
              <w:tc>
                <w:tcPr>
                  <w:tcW w:w="690" w:type="pc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声功率级/dB（A）</w:t>
                  </w:r>
                </w:p>
              </w:tc>
              <w:tc>
                <w:tcPr>
                  <w:tcW w:w="555" w:type="pct"/>
                  <w:vMerge w:val="continue"/>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p>
              </w:tc>
              <w:tc>
                <w:tcPr>
                  <w:tcW w:w="555" w:type="pct"/>
                  <w:vMerge w:val="continue"/>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87"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1</w:t>
                  </w:r>
                </w:p>
              </w:tc>
              <w:tc>
                <w:tcPr>
                  <w:tcW w:w="1005"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5.0MW风机</w:t>
                  </w:r>
                </w:p>
              </w:tc>
              <w:tc>
                <w:tcPr>
                  <w:tcW w:w="583"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w:t>
                  </w:r>
                </w:p>
              </w:tc>
              <w:tc>
                <w:tcPr>
                  <w:tcW w:w="407"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0</w:t>
                  </w:r>
                </w:p>
              </w:tc>
              <w:tc>
                <w:tcPr>
                  <w:tcW w:w="407"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0</w:t>
                  </w:r>
                </w:p>
              </w:tc>
              <w:tc>
                <w:tcPr>
                  <w:tcW w:w="407"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115</w:t>
                  </w:r>
                </w:p>
              </w:tc>
              <w:tc>
                <w:tcPr>
                  <w:tcW w:w="690"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106</w:t>
                  </w:r>
                </w:p>
              </w:tc>
              <w:tc>
                <w:tcPr>
                  <w:tcW w:w="555"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合理设置风机高度</w:t>
                  </w:r>
                </w:p>
              </w:tc>
              <w:tc>
                <w:tcPr>
                  <w:tcW w:w="555"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全天</w:t>
                  </w:r>
                </w:p>
              </w:tc>
            </w:tr>
          </w:tbl>
          <w:p>
            <w:pPr>
              <w:autoSpaceDE w:val="0"/>
              <w:autoSpaceDN w:val="0"/>
              <w:spacing w:line="360" w:lineRule="auto"/>
              <w:ind w:left="48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2）预测模式及噪声衰减预测结果</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①风机噪声对环境影响分析</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据污染源分析</w:t>
            </w:r>
            <w:r>
              <w:rPr>
                <w:rFonts w:hint="eastAsia" w:eastAsia="仿宋" w:cs="Times New Roman"/>
                <w:color w:val="auto"/>
                <w:sz w:val="24"/>
                <w:lang w:eastAsia="zh-CN"/>
              </w:rPr>
              <w:t>，</w:t>
            </w:r>
            <w:r>
              <w:rPr>
                <w:rFonts w:hint="eastAsia" w:eastAsia="仿宋" w:cs="Times New Roman"/>
                <w:color w:val="auto"/>
                <w:sz w:val="24"/>
                <w:lang w:val="en-US" w:eastAsia="zh-CN"/>
              </w:rPr>
              <w:t>本次评价按最不利情况进行分析</w:t>
            </w:r>
            <w:r>
              <w:rPr>
                <w:rFonts w:hint="default" w:ascii="Times New Roman" w:hAnsi="Times New Roman" w:eastAsia="仿宋" w:cs="Times New Roman"/>
                <w:color w:val="auto"/>
                <w:sz w:val="24"/>
              </w:rPr>
              <w:t>，风机噪声源强为10</w:t>
            </w:r>
            <w:r>
              <w:rPr>
                <w:rFonts w:hint="eastAsia" w:eastAsia="仿宋" w:cs="Times New Roman"/>
                <w:color w:val="auto"/>
                <w:sz w:val="24"/>
                <w:lang w:val="en-US" w:eastAsia="zh-CN"/>
              </w:rPr>
              <w:t>6</w:t>
            </w:r>
            <w:r>
              <w:rPr>
                <w:rFonts w:hint="default" w:ascii="Times New Roman" w:hAnsi="Times New Roman" w:eastAsia="仿宋" w:cs="Times New Roman"/>
                <w:color w:val="auto"/>
                <w:sz w:val="24"/>
              </w:rPr>
              <w:t>dB（A），声源距离地面高度为</w:t>
            </w:r>
            <w:r>
              <w:rPr>
                <w:rFonts w:hint="eastAsia" w:eastAsia="仿宋" w:cs="Times New Roman"/>
                <w:color w:val="auto"/>
                <w:sz w:val="24"/>
                <w:lang w:val="en-US" w:eastAsia="zh-CN"/>
              </w:rPr>
              <w:t>115</w:t>
            </w:r>
            <w:r>
              <w:rPr>
                <w:rFonts w:hint="default" w:ascii="Times New Roman" w:hAnsi="Times New Roman" w:eastAsia="仿宋" w:cs="Times New Roman"/>
                <w:color w:val="auto"/>
                <w:sz w:val="24"/>
              </w:rPr>
              <w:t>m，预测点高度为距离地面1.2m处。</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②噪声预测模式</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采用几何发散衰减模式：</w:t>
            </w:r>
          </w:p>
          <w:p>
            <w:pPr>
              <w:spacing w:line="360" w:lineRule="auto"/>
              <w:ind w:firstLine="480"/>
              <w:jc w:val="center"/>
              <w:rPr>
                <w:rFonts w:hint="default" w:ascii="Times New Roman" w:hAnsi="Times New Roman" w:eastAsia="仿宋" w:cs="Times New Roman"/>
                <w:color w:val="auto"/>
                <w:sz w:val="24"/>
              </w:rPr>
            </w:pPr>
            <w:r>
              <w:rPr>
                <w:rFonts w:hint="default" w:ascii="Times New Roman" w:hAnsi="Times New Roman" w:eastAsia="仿宋" w:cs="Times New Roman"/>
                <w:i/>
                <w:color w:val="auto"/>
                <w:sz w:val="24"/>
              </w:rPr>
              <w:t>L</w:t>
            </w:r>
            <w:r>
              <w:rPr>
                <w:rFonts w:hint="default" w:ascii="Times New Roman" w:hAnsi="Times New Roman" w:eastAsia="仿宋" w:cs="Times New Roman"/>
                <w:color w:val="auto"/>
                <w:sz w:val="24"/>
                <w:vertAlign w:val="subscript"/>
              </w:rPr>
              <w:t>A</w:t>
            </w:r>
            <w:r>
              <w:rPr>
                <w:rFonts w:hint="default" w:ascii="Times New Roman" w:hAnsi="Times New Roman" w:eastAsia="仿宋" w:cs="Times New Roman"/>
                <w:color w:val="auto"/>
                <w:sz w:val="24"/>
              </w:rPr>
              <w:t>（r）=</w:t>
            </w:r>
            <w:r>
              <w:rPr>
                <w:rFonts w:hint="default" w:ascii="Times New Roman" w:hAnsi="Times New Roman" w:eastAsia="仿宋" w:cs="Times New Roman"/>
                <w:i/>
                <w:color w:val="auto"/>
                <w:sz w:val="24"/>
              </w:rPr>
              <w:t>L</w:t>
            </w:r>
            <w:r>
              <w:rPr>
                <w:rFonts w:hint="default" w:ascii="Times New Roman" w:hAnsi="Times New Roman" w:eastAsia="仿宋" w:cs="Times New Roman"/>
                <w:color w:val="auto"/>
                <w:sz w:val="24"/>
                <w:vertAlign w:val="subscript"/>
              </w:rPr>
              <w:t>Aw</w:t>
            </w:r>
            <w:r>
              <w:rPr>
                <w:rFonts w:hint="default" w:ascii="Times New Roman" w:hAnsi="Times New Roman" w:eastAsia="仿宋" w:cs="Times New Roman"/>
                <w:color w:val="auto"/>
                <w:sz w:val="24"/>
              </w:rPr>
              <w:t>-20lgr-11</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w:t>
            </w:r>
            <w:r>
              <w:rPr>
                <w:rFonts w:hint="default" w:ascii="Times New Roman" w:hAnsi="Times New Roman" w:eastAsia="仿宋" w:cs="Times New Roman"/>
                <w:i/>
                <w:color w:val="auto"/>
                <w:sz w:val="24"/>
              </w:rPr>
              <w:t>L</w:t>
            </w:r>
            <w:r>
              <w:rPr>
                <w:rFonts w:hint="default" w:ascii="Times New Roman" w:hAnsi="Times New Roman" w:eastAsia="仿宋" w:cs="Times New Roman"/>
                <w:color w:val="auto"/>
                <w:sz w:val="24"/>
                <w:vertAlign w:val="subscript"/>
              </w:rPr>
              <w:t>A</w:t>
            </w:r>
            <w:r>
              <w:rPr>
                <w:rFonts w:hint="default" w:ascii="Times New Roman" w:hAnsi="Times New Roman" w:eastAsia="仿宋" w:cs="Times New Roman"/>
                <w:color w:val="auto"/>
                <w:sz w:val="24"/>
              </w:rPr>
              <w:t>（r）——距离声源r处的A声级，dB（A）；</w:t>
            </w:r>
          </w:p>
          <w:p>
            <w:pPr>
              <w:spacing w:line="360" w:lineRule="auto"/>
              <w:ind w:firstLine="1200" w:firstLineChars="500"/>
              <w:rPr>
                <w:rFonts w:hint="default" w:ascii="Times New Roman" w:hAnsi="Times New Roman" w:eastAsia="仿宋" w:cs="Times New Roman"/>
                <w:color w:val="auto"/>
                <w:sz w:val="24"/>
              </w:rPr>
            </w:pPr>
            <w:r>
              <w:rPr>
                <w:rFonts w:hint="default" w:ascii="Times New Roman" w:hAnsi="Times New Roman" w:eastAsia="仿宋" w:cs="Times New Roman"/>
                <w:i/>
                <w:color w:val="auto"/>
                <w:sz w:val="24"/>
              </w:rPr>
              <w:t>L</w:t>
            </w:r>
            <w:r>
              <w:rPr>
                <w:rFonts w:hint="default" w:ascii="Times New Roman" w:hAnsi="Times New Roman" w:eastAsia="仿宋" w:cs="Times New Roman"/>
                <w:color w:val="auto"/>
                <w:sz w:val="24"/>
                <w:vertAlign w:val="subscript"/>
              </w:rPr>
              <w:t>Aw</w:t>
            </w:r>
            <w:r>
              <w:rPr>
                <w:rFonts w:hint="default" w:ascii="Times New Roman" w:hAnsi="Times New Roman" w:eastAsia="仿宋" w:cs="Times New Roman"/>
                <w:color w:val="auto"/>
                <w:sz w:val="24"/>
              </w:rPr>
              <w:t>——A声功率级，dB（A）；</w:t>
            </w:r>
          </w:p>
          <w:p>
            <w:pPr>
              <w:spacing w:line="360" w:lineRule="auto"/>
              <w:ind w:firstLine="1200" w:firstLineChars="5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r——预测点距声源的距离，m。</w:t>
            </w:r>
          </w:p>
          <w:p>
            <w:pPr>
              <w:spacing w:line="360" w:lineRule="auto"/>
              <w:ind w:firstLine="480"/>
              <w:rPr>
                <w:rFonts w:hint="default" w:ascii="Times New Roman" w:hAnsi="Times New Roman" w:eastAsia="仿宋" w:cs="Times New Roman"/>
                <w:color w:val="auto"/>
                <w:sz w:val="24"/>
              </w:rPr>
            </w:pPr>
            <w:bookmarkStart w:id="16" w:name="_Toc436311866"/>
            <w:bookmarkStart w:id="17" w:name="_Toc437420214"/>
            <w:r>
              <w:rPr>
                <w:rFonts w:hint="default" w:ascii="Times New Roman" w:hAnsi="Times New Roman" w:eastAsia="仿宋" w:cs="Times New Roman"/>
                <w:color w:val="auto"/>
                <w:sz w:val="24"/>
              </w:rPr>
              <w:t>③</w:t>
            </w:r>
            <w:bookmarkEnd w:id="16"/>
            <w:bookmarkEnd w:id="17"/>
            <w:r>
              <w:rPr>
                <w:rFonts w:hint="default" w:ascii="Times New Roman" w:hAnsi="Times New Roman" w:eastAsia="仿宋" w:cs="Times New Roman"/>
                <w:color w:val="auto"/>
                <w:sz w:val="24"/>
              </w:rPr>
              <w:t>单机容量</w:t>
            </w:r>
            <w:r>
              <w:rPr>
                <w:rFonts w:hint="eastAsia" w:eastAsia="仿宋" w:cs="Times New Roman"/>
                <w:color w:val="auto"/>
                <w:sz w:val="24"/>
                <w:lang w:val="en-US" w:eastAsia="zh-CN"/>
              </w:rPr>
              <w:t>5</w:t>
            </w:r>
            <w:r>
              <w:rPr>
                <w:rFonts w:hint="eastAsia" w:eastAsia="仿宋" w:cs="Times New Roman"/>
                <w:color w:val="auto"/>
                <w:sz w:val="24"/>
                <w:lang w:eastAsia="zh-CN"/>
              </w:rPr>
              <w:t>MW</w:t>
            </w:r>
            <w:r>
              <w:rPr>
                <w:rFonts w:hint="default" w:ascii="Times New Roman" w:hAnsi="Times New Roman" w:eastAsia="仿宋" w:cs="Times New Roman"/>
                <w:color w:val="auto"/>
                <w:sz w:val="24"/>
              </w:rPr>
              <w:t>风机噪声预测分析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单台风机噪声传播的衰减状况如下图。</w:t>
            </w:r>
          </w:p>
          <w:p>
            <w:pPr>
              <w:spacing w:line="360" w:lineRule="auto"/>
              <w:jc w:val="center"/>
              <w:rPr>
                <w:rFonts w:hint="default" w:ascii="Times New Roman" w:hAnsi="Times New Roman" w:eastAsia="仿宋" w:cs="Times New Roman"/>
                <w:color w:val="auto"/>
                <w:sz w:val="24"/>
              </w:rPr>
            </w:pPr>
            <w:r>
              <w:drawing>
                <wp:inline distT="0" distB="0" distL="114300" distR="114300">
                  <wp:extent cx="3856990" cy="3013075"/>
                  <wp:effectExtent l="0" t="0" r="10160"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rcRect l="4742" t="5287" r="8294" b="6009"/>
                          <a:stretch>
                            <a:fillRect/>
                          </a:stretch>
                        </pic:blipFill>
                        <pic:spPr>
                          <a:xfrm>
                            <a:off x="0" y="0"/>
                            <a:ext cx="3856990" cy="3013075"/>
                          </a:xfrm>
                          <a:prstGeom prst="rect">
                            <a:avLst/>
                          </a:prstGeom>
                          <a:noFill/>
                          <a:ln>
                            <a:noFill/>
                          </a:ln>
                        </pic:spPr>
                      </pic:pic>
                    </a:graphicData>
                  </a:graphic>
                </wp:inline>
              </w:drawing>
            </w:r>
          </w:p>
          <w:p>
            <w:pPr>
              <w:pStyle w:val="5"/>
              <w:keepNext/>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图</w:t>
            </w:r>
            <w:r>
              <w:rPr>
                <w:rFonts w:hint="default" w:ascii="Times New Roman" w:hAnsi="Times New Roman" w:eastAsia="仿宋" w:cs="Times New Roman"/>
                <w:b/>
                <w:color w:val="auto"/>
                <w:sz w:val="21"/>
                <w:szCs w:val="21"/>
                <w:lang w:val="en-US"/>
              </w:rPr>
              <w:t>4-4</w:t>
            </w:r>
            <w:r>
              <w:rPr>
                <w:rFonts w:hint="default" w:ascii="Times New Roman" w:hAnsi="Times New Roman" w:eastAsia="仿宋" w:cs="Times New Roman"/>
                <w:b/>
                <w:color w:val="auto"/>
                <w:sz w:val="21"/>
                <w:szCs w:val="21"/>
              </w:rPr>
              <w:t xml:space="preserve">  单台容量为</w:t>
            </w:r>
            <w:r>
              <w:rPr>
                <w:rFonts w:hint="eastAsia" w:ascii="Times New Roman" w:hAnsi="Times New Roman" w:eastAsia="仿宋" w:cs="Times New Roman"/>
                <w:b/>
                <w:color w:val="auto"/>
                <w:sz w:val="21"/>
                <w:szCs w:val="21"/>
                <w:lang w:val="en-US" w:eastAsia="zh-CN"/>
              </w:rPr>
              <w:t>5</w:t>
            </w:r>
            <w:r>
              <w:rPr>
                <w:rFonts w:hint="eastAsia" w:ascii="Times New Roman" w:hAnsi="Times New Roman" w:eastAsia="仿宋" w:cs="Times New Roman"/>
                <w:b/>
                <w:color w:val="auto"/>
                <w:sz w:val="21"/>
                <w:szCs w:val="21"/>
                <w:lang w:eastAsia="zh-CN"/>
              </w:rPr>
              <w:t>MW</w:t>
            </w:r>
            <w:r>
              <w:rPr>
                <w:rFonts w:hint="default" w:ascii="Times New Roman" w:hAnsi="Times New Roman" w:eastAsia="仿宋" w:cs="Times New Roman"/>
                <w:b/>
                <w:color w:val="auto"/>
                <w:sz w:val="21"/>
                <w:szCs w:val="21"/>
              </w:rPr>
              <w:t>风机噪声预测图</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由上图可知，最远至单台容量为</w:t>
            </w:r>
            <w:r>
              <w:rPr>
                <w:rFonts w:hint="eastAsia" w:eastAsia="仿宋" w:cs="Times New Roman"/>
                <w:color w:val="auto"/>
                <w:sz w:val="24"/>
                <w:lang w:val="en-US" w:eastAsia="zh-CN"/>
              </w:rPr>
              <w:t>5</w:t>
            </w:r>
            <w:r>
              <w:rPr>
                <w:rFonts w:hint="eastAsia" w:eastAsia="仿宋" w:cs="Times New Roman"/>
                <w:color w:val="auto"/>
                <w:sz w:val="24"/>
                <w:lang w:eastAsia="zh-CN"/>
              </w:rPr>
              <w:t>MW</w:t>
            </w:r>
            <w:r>
              <w:rPr>
                <w:rFonts w:hint="default" w:ascii="Times New Roman" w:hAnsi="Times New Roman" w:eastAsia="仿宋" w:cs="Times New Roman"/>
                <w:color w:val="auto"/>
                <w:sz w:val="24"/>
              </w:rPr>
              <w:t>的风机地面投影外</w:t>
            </w:r>
            <w:r>
              <w:rPr>
                <w:rFonts w:hint="eastAsia" w:eastAsia="仿宋" w:cs="Times New Roman"/>
                <w:color w:val="auto"/>
                <w:sz w:val="24"/>
                <w:lang w:val="en-US" w:eastAsia="zh-CN"/>
              </w:rPr>
              <w:t>317m</w:t>
            </w:r>
            <w:r>
              <w:rPr>
                <w:rFonts w:hint="default" w:ascii="Times New Roman" w:hAnsi="Times New Roman" w:eastAsia="仿宋" w:cs="Times New Roman"/>
                <w:color w:val="auto"/>
                <w:sz w:val="24"/>
              </w:rPr>
              <w:t>处，风机噪声衰减至</w:t>
            </w:r>
            <w:r>
              <w:rPr>
                <w:rFonts w:hint="eastAsia" w:eastAsia="仿宋" w:cs="Times New Roman"/>
                <w:color w:val="auto"/>
                <w:sz w:val="24"/>
                <w:lang w:val="en-US" w:eastAsia="zh-CN"/>
              </w:rPr>
              <w:t>45</w:t>
            </w:r>
            <w:r>
              <w:rPr>
                <w:rFonts w:hint="default" w:ascii="Times New Roman" w:hAnsi="Times New Roman" w:eastAsia="仿宋" w:cs="Times New Roman"/>
                <w:color w:val="auto"/>
                <w:sz w:val="24"/>
              </w:rPr>
              <w:t>dB，即在约</w:t>
            </w:r>
            <w:r>
              <w:rPr>
                <w:rFonts w:hint="eastAsia" w:eastAsia="仿宋" w:cs="Times New Roman"/>
                <w:color w:val="auto"/>
                <w:sz w:val="24"/>
                <w:lang w:val="en-US" w:eastAsia="zh-CN"/>
              </w:rPr>
              <w:t>317m</w:t>
            </w:r>
            <w:r>
              <w:rPr>
                <w:rFonts w:hint="default" w:ascii="Times New Roman" w:hAnsi="Times New Roman" w:eastAsia="仿宋" w:cs="Times New Roman"/>
                <w:color w:val="auto"/>
                <w:sz w:val="24"/>
              </w:rPr>
              <w:t>处满足《工业企业厂界环境噪声排放标准》（GB12348-2008）中的1类标准。</w:t>
            </w:r>
          </w:p>
          <w:p>
            <w:pPr>
              <w:spacing w:line="360" w:lineRule="auto"/>
              <w:ind w:firstLine="480" w:firstLineChars="200"/>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④声环境达标距离</w:t>
            </w:r>
          </w:p>
          <w:p>
            <w:pPr>
              <w:spacing w:line="360" w:lineRule="auto"/>
              <w:ind w:firstLine="480" w:firstLineChars="200"/>
              <w:rPr>
                <w:rFonts w:hint="eastAsia" w:eastAsia="仿宋" w:cs="Times New Roman"/>
                <w:color w:val="auto"/>
                <w:sz w:val="24"/>
                <w:lang w:val="en-US" w:eastAsia="zh-CN"/>
              </w:rPr>
            </w:pPr>
            <w:r>
              <w:rPr>
                <w:rFonts w:hint="default" w:ascii="Times New Roman" w:hAnsi="Times New Roman" w:eastAsia="仿宋" w:cs="Times New Roman"/>
                <w:color w:val="auto"/>
                <w:sz w:val="24"/>
              </w:rPr>
              <w:t>根据声环境质量现状监测结果可知，项目位于农村区域声环境背景值昼间为</w:t>
            </w:r>
            <w:r>
              <w:rPr>
                <w:rFonts w:hint="eastAsia" w:eastAsia="仿宋" w:cs="Times New Roman"/>
                <w:color w:val="auto"/>
                <w:sz w:val="24"/>
                <w:lang w:val="en-US" w:eastAsia="zh-CN"/>
              </w:rPr>
              <w:t>46</w:t>
            </w:r>
            <w:r>
              <w:rPr>
                <w:rFonts w:hint="default" w:ascii="Times New Roman" w:hAnsi="Times New Roman" w:eastAsia="仿宋" w:cs="Times New Roman"/>
                <w:color w:val="auto"/>
                <w:sz w:val="24"/>
              </w:rPr>
              <w:t>dB（A）~</w:t>
            </w:r>
            <w:r>
              <w:rPr>
                <w:rFonts w:hint="eastAsia" w:eastAsia="仿宋" w:cs="Times New Roman"/>
                <w:color w:val="auto"/>
                <w:sz w:val="24"/>
                <w:lang w:val="en-US" w:eastAsia="zh-CN"/>
              </w:rPr>
              <w:t>53d</w:t>
            </w:r>
            <w:r>
              <w:rPr>
                <w:rFonts w:hint="default" w:ascii="Times New Roman" w:hAnsi="Times New Roman" w:eastAsia="仿宋" w:cs="Times New Roman"/>
                <w:color w:val="auto"/>
                <w:sz w:val="24"/>
              </w:rPr>
              <w:t>B（A），夜间为</w:t>
            </w:r>
            <w:r>
              <w:rPr>
                <w:rFonts w:hint="eastAsia" w:eastAsia="仿宋" w:cs="Times New Roman"/>
                <w:color w:val="auto"/>
                <w:sz w:val="24"/>
                <w:lang w:val="en-US" w:eastAsia="zh-CN"/>
              </w:rPr>
              <w:t>41</w:t>
            </w:r>
            <w:r>
              <w:rPr>
                <w:rFonts w:hint="default" w:ascii="Times New Roman" w:hAnsi="Times New Roman" w:eastAsia="仿宋" w:cs="Times New Roman"/>
                <w:color w:val="auto"/>
                <w:sz w:val="24"/>
              </w:rPr>
              <w:t>dB（A）~</w:t>
            </w:r>
            <w:r>
              <w:rPr>
                <w:rFonts w:hint="eastAsia" w:eastAsia="仿宋" w:cs="Times New Roman"/>
                <w:color w:val="auto"/>
                <w:sz w:val="24"/>
                <w:lang w:val="en-US" w:eastAsia="zh-CN"/>
              </w:rPr>
              <w:t>43</w:t>
            </w:r>
            <w:r>
              <w:rPr>
                <w:rFonts w:hint="default" w:ascii="Times New Roman" w:hAnsi="Times New Roman" w:eastAsia="仿宋" w:cs="Times New Roman"/>
                <w:color w:val="auto"/>
                <w:sz w:val="24"/>
              </w:rPr>
              <w:t>dB（A），取昼间最大监测值</w:t>
            </w:r>
            <w:r>
              <w:rPr>
                <w:rFonts w:hint="eastAsia" w:eastAsia="仿宋" w:cs="Times New Roman"/>
                <w:color w:val="auto"/>
                <w:sz w:val="24"/>
                <w:lang w:val="en-US" w:eastAsia="zh-CN"/>
              </w:rPr>
              <w:t>53</w:t>
            </w:r>
            <w:r>
              <w:rPr>
                <w:rFonts w:hint="default" w:ascii="Times New Roman" w:hAnsi="Times New Roman" w:eastAsia="仿宋" w:cs="Times New Roman"/>
                <w:color w:val="auto"/>
                <w:sz w:val="24"/>
              </w:rPr>
              <w:t>dB（A），夜间最大监测值</w:t>
            </w:r>
            <w:r>
              <w:rPr>
                <w:rFonts w:hint="eastAsia" w:eastAsia="仿宋" w:cs="Times New Roman"/>
                <w:color w:val="auto"/>
                <w:sz w:val="24"/>
                <w:lang w:val="en-US" w:eastAsia="zh-CN"/>
              </w:rPr>
              <w:t>43</w:t>
            </w:r>
            <w:r>
              <w:rPr>
                <w:rFonts w:hint="default" w:ascii="Times New Roman" w:hAnsi="Times New Roman" w:eastAsia="仿宋" w:cs="Times New Roman"/>
                <w:color w:val="auto"/>
                <w:sz w:val="24"/>
              </w:rPr>
              <w:t>dB（A）。单机容量为</w:t>
            </w:r>
            <w:r>
              <w:rPr>
                <w:rFonts w:hint="eastAsia" w:eastAsia="仿宋" w:cs="Times New Roman"/>
                <w:color w:val="auto"/>
                <w:sz w:val="24"/>
                <w:lang w:val="en-US" w:eastAsia="zh-CN"/>
              </w:rPr>
              <w:t>5</w:t>
            </w:r>
            <w:r>
              <w:rPr>
                <w:rFonts w:hint="eastAsia" w:eastAsia="仿宋" w:cs="Times New Roman"/>
                <w:color w:val="auto"/>
                <w:sz w:val="24"/>
                <w:lang w:eastAsia="zh-CN"/>
              </w:rPr>
              <w:t>MW</w:t>
            </w:r>
            <w:r>
              <w:rPr>
                <w:rFonts w:hint="default" w:ascii="Times New Roman" w:hAnsi="Times New Roman" w:eastAsia="仿宋" w:cs="Times New Roman"/>
                <w:color w:val="auto"/>
                <w:sz w:val="24"/>
              </w:rPr>
              <w:t>的风机在噪声贡献值</w:t>
            </w:r>
            <w:r>
              <w:rPr>
                <w:rFonts w:hint="eastAsia" w:eastAsia="仿宋" w:cs="Times New Roman"/>
                <w:color w:val="auto"/>
                <w:sz w:val="24"/>
                <w:lang w:val="en-US" w:eastAsia="zh-CN"/>
              </w:rPr>
              <w:t>50.6</w:t>
            </w:r>
            <w:r>
              <w:rPr>
                <w:rFonts w:hint="default" w:ascii="Times New Roman" w:hAnsi="Times New Roman" w:eastAsia="仿宋" w:cs="Times New Roman"/>
                <w:color w:val="auto"/>
                <w:sz w:val="24"/>
              </w:rPr>
              <w:t>dB（A）处将会引起</w:t>
            </w:r>
            <w:r>
              <w:rPr>
                <w:rFonts w:hint="eastAsia" w:eastAsia="仿宋" w:cs="Times New Roman"/>
                <w:color w:val="auto"/>
                <w:sz w:val="24"/>
                <w:lang w:val="en-US" w:eastAsia="zh-CN"/>
              </w:rPr>
              <w:t>昼</w:t>
            </w:r>
            <w:r>
              <w:rPr>
                <w:rFonts w:hint="default" w:ascii="Times New Roman" w:hAnsi="Times New Roman" w:eastAsia="仿宋" w:cs="Times New Roman"/>
                <w:color w:val="auto"/>
                <w:sz w:val="24"/>
              </w:rPr>
              <w:t>间噪声超标（贡献值</w:t>
            </w:r>
            <w:r>
              <w:rPr>
                <w:rFonts w:hint="eastAsia" w:eastAsia="仿宋" w:cs="Times New Roman"/>
                <w:color w:val="auto"/>
                <w:sz w:val="24"/>
                <w:lang w:val="en-US" w:eastAsia="zh-CN"/>
              </w:rPr>
              <w:t>50.6</w:t>
            </w:r>
            <w:r>
              <w:rPr>
                <w:rFonts w:hint="default" w:ascii="Times New Roman" w:hAnsi="Times New Roman" w:eastAsia="仿宋" w:cs="Times New Roman"/>
                <w:color w:val="auto"/>
                <w:sz w:val="24"/>
              </w:rPr>
              <w:t>dB（A）+背景值</w:t>
            </w:r>
            <w:r>
              <w:rPr>
                <w:rFonts w:hint="eastAsia" w:eastAsia="仿宋" w:cs="Times New Roman"/>
                <w:color w:val="auto"/>
                <w:sz w:val="24"/>
                <w:lang w:val="en-US" w:eastAsia="zh-CN"/>
              </w:rPr>
              <w:t>53</w:t>
            </w:r>
            <w:r>
              <w:rPr>
                <w:rFonts w:hint="default" w:ascii="Times New Roman" w:hAnsi="Times New Roman" w:eastAsia="仿宋" w:cs="Times New Roman"/>
                <w:color w:val="auto"/>
                <w:sz w:val="24"/>
              </w:rPr>
              <w:t>dB（A）=</w:t>
            </w:r>
            <w:r>
              <w:rPr>
                <w:rFonts w:hint="eastAsia" w:eastAsia="仿宋" w:cs="Times New Roman"/>
                <w:color w:val="auto"/>
                <w:sz w:val="24"/>
                <w:lang w:val="en-US" w:eastAsia="zh-CN"/>
              </w:rPr>
              <w:t>5</w:t>
            </w:r>
            <w:r>
              <w:rPr>
                <w:rFonts w:hint="default" w:ascii="Times New Roman" w:hAnsi="Times New Roman" w:eastAsia="仿宋" w:cs="Times New Roman"/>
                <w:color w:val="auto"/>
                <w:sz w:val="24"/>
              </w:rPr>
              <w:t>5.0dB（A）），该区域距离风机的距离约为</w:t>
            </w:r>
            <w:r>
              <w:rPr>
                <w:rFonts w:hint="eastAsia" w:eastAsia="仿宋" w:cs="Times New Roman"/>
                <w:color w:val="auto"/>
                <w:sz w:val="24"/>
                <w:lang w:val="en-US" w:eastAsia="zh-CN"/>
              </w:rPr>
              <w:t>120</w:t>
            </w:r>
            <w:r>
              <w:rPr>
                <w:rFonts w:hint="eastAsia" w:eastAsia="仿宋" w:cs="Times New Roman"/>
                <w:color w:val="auto"/>
                <w:sz w:val="24"/>
                <w:lang w:eastAsia="zh-CN"/>
              </w:rPr>
              <w:t>m；</w:t>
            </w:r>
            <w:r>
              <w:rPr>
                <w:rFonts w:hint="default" w:ascii="Times New Roman" w:hAnsi="Times New Roman" w:eastAsia="仿宋" w:cs="Times New Roman"/>
                <w:color w:val="auto"/>
                <w:sz w:val="24"/>
              </w:rPr>
              <w:t>单机容量为</w:t>
            </w:r>
            <w:r>
              <w:rPr>
                <w:rFonts w:hint="eastAsia" w:eastAsia="仿宋" w:cs="Times New Roman"/>
                <w:color w:val="auto"/>
                <w:sz w:val="24"/>
                <w:lang w:val="en-US" w:eastAsia="zh-CN"/>
              </w:rPr>
              <w:t>5</w:t>
            </w:r>
            <w:r>
              <w:rPr>
                <w:rFonts w:hint="eastAsia" w:eastAsia="仿宋" w:cs="Times New Roman"/>
                <w:color w:val="auto"/>
                <w:sz w:val="24"/>
                <w:lang w:eastAsia="zh-CN"/>
              </w:rPr>
              <w:t>MW</w:t>
            </w:r>
            <w:r>
              <w:rPr>
                <w:rFonts w:hint="default" w:ascii="Times New Roman" w:hAnsi="Times New Roman" w:eastAsia="仿宋" w:cs="Times New Roman"/>
                <w:color w:val="auto"/>
                <w:sz w:val="24"/>
              </w:rPr>
              <w:t>的风机在噪声贡献值</w:t>
            </w:r>
            <w:r>
              <w:rPr>
                <w:rFonts w:hint="eastAsia" w:eastAsia="仿宋" w:cs="Times New Roman"/>
                <w:color w:val="auto"/>
                <w:sz w:val="24"/>
                <w:lang w:val="en-US" w:eastAsia="zh-CN"/>
              </w:rPr>
              <w:t>40.6</w:t>
            </w:r>
            <w:r>
              <w:rPr>
                <w:rFonts w:hint="default" w:ascii="Times New Roman" w:hAnsi="Times New Roman" w:eastAsia="仿宋" w:cs="Times New Roman"/>
                <w:color w:val="auto"/>
                <w:sz w:val="24"/>
              </w:rPr>
              <w:t>dB（A）处将会引起夜间噪声超标（贡献值</w:t>
            </w:r>
            <w:r>
              <w:rPr>
                <w:rFonts w:hint="eastAsia" w:eastAsia="仿宋" w:cs="Times New Roman"/>
                <w:color w:val="auto"/>
                <w:sz w:val="24"/>
                <w:lang w:val="en-US" w:eastAsia="zh-CN"/>
              </w:rPr>
              <w:t>40.6</w:t>
            </w:r>
            <w:r>
              <w:rPr>
                <w:rFonts w:hint="default" w:ascii="Times New Roman" w:hAnsi="Times New Roman" w:eastAsia="仿宋" w:cs="Times New Roman"/>
                <w:color w:val="auto"/>
                <w:sz w:val="24"/>
              </w:rPr>
              <w:t>dB（A）+背景值</w:t>
            </w:r>
            <w:r>
              <w:rPr>
                <w:rFonts w:hint="eastAsia" w:eastAsia="仿宋" w:cs="Times New Roman"/>
                <w:color w:val="auto"/>
                <w:sz w:val="24"/>
                <w:lang w:val="en-US" w:eastAsia="zh-CN"/>
              </w:rPr>
              <w:t>43</w:t>
            </w:r>
            <w:r>
              <w:rPr>
                <w:rFonts w:hint="default" w:ascii="Times New Roman" w:hAnsi="Times New Roman" w:eastAsia="仿宋" w:cs="Times New Roman"/>
                <w:color w:val="auto"/>
                <w:sz w:val="24"/>
              </w:rPr>
              <w:t>dB（A）=45.0dB（A）），该区域距离风机的距离约为</w:t>
            </w:r>
            <w:r>
              <w:rPr>
                <w:rFonts w:hint="eastAsia" w:eastAsia="仿宋" w:cs="Times New Roman"/>
                <w:color w:val="auto"/>
                <w:sz w:val="24"/>
                <w:lang w:val="en-US" w:eastAsia="zh-CN"/>
              </w:rPr>
              <w:t>510</w:t>
            </w:r>
            <w:r>
              <w:rPr>
                <w:rFonts w:hint="eastAsia" w:eastAsia="仿宋" w:cs="Times New Roman"/>
                <w:color w:val="auto"/>
                <w:sz w:val="24"/>
                <w:lang w:eastAsia="zh-CN"/>
              </w:rPr>
              <w:t>m</w:t>
            </w:r>
            <w:r>
              <w:rPr>
                <w:rFonts w:hint="default" w:ascii="Times New Roman" w:hAnsi="Times New Roman" w:eastAsia="仿宋" w:cs="Times New Roman"/>
                <w:color w:val="auto"/>
                <w:sz w:val="24"/>
              </w:rPr>
              <w:t>，即保障周边居民点声环境质量达标的距离为</w:t>
            </w:r>
            <w:r>
              <w:rPr>
                <w:rFonts w:hint="eastAsia" w:eastAsia="仿宋" w:cs="Times New Roman"/>
                <w:color w:val="auto"/>
                <w:sz w:val="24"/>
                <w:lang w:eastAsia="zh-CN"/>
              </w:rPr>
              <w:t>510m</w:t>
            </w:r>
            <w:r>
              <w:rPr>
                <w:rFonts w:hint="default" w:ascii="Times New Roman" w:hAnsi="Times New Roman" w:eastAsia="仿宋" w:cs="Times New Roman"/>
                <w:color w:val="auto"/>
                <w:sz w:val="24"/>
              </w:rPr>
              <w:t>。</w:t>
            </w:r>
          </w:p>
          <w:p>
            <w:pPr>
              <w:spacing w:line="360" w:lineRule="auto"/>
              <w:ind w:firstLine="480" w:firstLineChars="200"/>
              <w:rPr>
                <w:rFonts w:hint="eastAsia" w:eastAsia="仿宋" w:cs="Times New Roman"/>
                <w:color w:val="auto"/>
                <w:sz w:val="24"/>
                <w:lang w:val="en-US" w:eastAsia="zh-CN"/>
              </w:rPr>
            </w:pPr>
            <w:r>
              <w:rPr>
                <w:rFonts w:hint="eastAsia" w:eastAsia="仿宋" w:cs="Times New Roman"/>
                <w:color w:val="auto"/>
                <w:sz w:val="24"/>
                <w:lang w:val="en-US" w:eastAsia="zh-CN"/>
              </w:rPr>
              <w:t>⑤声环境敏感目标预测与分析</w:t>
            </w:r>
          </w:p>
          <w:p>
            <w:pPr>
              <w:spacing w:line="360" w:lineRule="auto"/>
              <w:ind w:firstLine="480" w:firstLineChars="200"/>
              <w:rPr>
                <w:rFonts w:hint="eastAsia" w:eastAsia="仿宋" w:cs="Times New Roman"/>
                <w:color w:val="auto"/>
                <w:sz w:val="24"/>
                <w:lang w:val="en-US" w:eastAsia="zh-CN"/>
              </w:rPr>
            </w:pPr>
            <w:r>
              <w:rPr>
                <w:rFonts w:hint="eastAsia" w:eastAsia="仿宋" w:cs="Times New Roman"/>
                <w:color w:val="auto"/>
                <w:sz w:val="24"/>
                <w:lang w:val="en-US" w:eastAsia="zh-CN"/>
              </w:rPr>
              <w:t>项目风机510m范围内无声环境敏感目标，为进一步了解本项目投运后风机对周边环境的影响。本次环评选取各风机附近最近居民点为代表进行预测，预测风机投运后各敏感目标处噪声的达标情况，具体见下表。</w:t>
            </w:r>
          </w:p>
          <w:p>
            <w:pPr>
              <w:adjustRightInd w:val="0"/>
              <w:snapToGrid w:val="0"/>
              <w:jc w:val="center"/>
              <w:rPr>
                <w:rFonts w:hint="default" w:ascii="Times New Roman" w:hAnsi="Times New Roman" w:eastAsia="仿宋" w:cs="Times New Roman"/>
                <w:color w:val="auto"/>
                <w:sz w:val="24"/>
                <w:lang w:val="en-US"/>
              </w:rPr>
            </w:pPr>
            <w:r>
              <w:rPr>
                <w:rFonts w:hint="eastAsia" w:eastAsia="仿宋" w:cs="Times New Roman"/>
                <w:b/>
                <w:bCs/>
                <w:color w:val="auto"/>
                <w:szCs w:val="21"/>
                <w:lang w:val="en-US" w:eastAsia="zh-CN"/>
              </w:rPr>
              <w:t>表4-13 风机</w:t>
            </w:r>
            <w:r>
              <w:rPr>
                <w:rFonts w:hint="eastAsia" w:ascii="Times New Roman" w:hAnsi="Times New Roman" w:eastAsia="仿宋" w:cs="Times New Roman"/>
                <w:b/>
                <w:bCs/>
                <w:color w:val="auto"/>
                <w:szCs w:val="21"/>
                <w:lang w:val="en-US" w:eastAsia="zh-CN"/>
              </w:rPr>
              <w:t>噪声</w:t>
            </w:r>
            <w:r>
              <w:rPr>
                <w:rFonts w:hint="eastAsia" w:eastAsia="仿宋" w:cs="Times New Roman"/>
                <w:b/>
                <w:bCs/>
                <w:color w:val="auto"/>
                <w:szCs w:val="21"/>
                <w:lang w:val="en-US" w:eastAsia="zh-CN"/>
              </w:rPr>
              <w:t>影响预测表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78"/>
              <w:gridCol w:w="636"/>
              <w:gridCol w:w="427"/>
              <w:gridCol w:w="427"/>
              <w:gridCol w:w="427"/>
              <w:gridCol w:w="427"/>
              <w:gridCol w:w="427"/>
              <w:gridCol w:w="427"/>
              <w:gridCol w:w="427"/>
              <w:gridCol w:w="584"/>
              <w:gridCol w:w="584"/>
              <w:gridCol w:w="584"/>
              <w:gridCol w:w="584"/>
              <w:gridCol w:w="479"/>
              <w:gridCol w:w="479"/>
              <w:gridCol w:w="427"/>
              <w:gridCol w:w="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restart"/>
                  <w:vAlign w:val="center"/>
                </w:tcPr>
                <w:p>
                  <w:pPr>
                    <w:pStyle w:val="54"/>
                    <w:spacing w:line="240" w:lineRule="auto"/>
                    <w:ind w:firstLine="0" w:firstLineChars="0"/>
                    <w:jc w:val="center"/>
                    <w:rPr>
                      <w:rFonts w:hint="eastAsia" w:eastAsia="仿宋" w:cs="Times New Roman"/>
                      <w:b/>
                      <w:bCs/>
                      <w:color w:val="auto"/>
                      <w:sz w:val="21"/>
                      <w:szCs w:val="16"/>
                      <w:lang w:val="en-US" w:eastAsia="zh-CN"/>
                    </w:rPr>
                  </w:pPr>
                  <w:r>
                    <w:rPr>
                      <w:rFonts w:hint="eastAsia" w:eastAsia="仿宋" w:cs="Times New Roman"/>
                      <w:b/>
                      <w:bCs/>
                      <w:color w:val="auto"/>
                      <w:sz w:val="21"/>
                      <w:szCs w:val="16"/>
                      <w:lang w:val="en-US" w:eastAsia="zh-CN"/>
                    </w:rPr>
                    <w:t>序号</w:t>
                  </w:r>
                </w:p>
              </w:tc>
              <w:tc>
                <w:tcPr>
                  <w:tcW w:w="305" w:type="pct"/>
                  <w:vMerge w:val="restar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风机编号</w:t>
                  </w:r>
                </w:p>
              </w:tc>
              <w:tc>
                <w:tcPr>
                  <w:tcW w:w="285" w:type="pct"/>
                  <w:vMerge w:val="restar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距风机距离/m</w:t>
                  </w:r>
                </w:p>
              </w:tc>
              <w:tc>
                <w:tcPr>
                  <w:tcW w:w="229" w:type="pct"/>
                  <w:vMerge w:val="restar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声环境保护目标</w:t>
                  </w:r>
                </w:p>
              </w:tc>
              <w:tc>
                <w:tcPr>
                  <w:tcW w:w="628" w:type="pct"/>
                  <w:gridSpan w:val="2"/>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噪声背景值</w:t>
                  </w:r>
                </w:p>
              </w:tc>
              <w:tc>
                <w:tcPr>
                  <w:tcW w:w="628" w:type="pct"/>
                  <w:gridSpan w:val="2"/>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噪声现状值</w:t>
                  </w:r>
                </w:p>
              </w:tc>
              <w:tc>
                <w:tcPr>
                  <w:tcW w:w="459" w:type="pct"/>
                  <w:gridSpan w:val="2"/>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噪声标准</w:t>
                  </w:r>
                </w:p>
              </w:tc>
              <w:tc>
                <w:tcPr>
                  <w:tcW w:w="628" w:type="pct"/>
                  <w:gridSpan w:val="2"/>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噪声贡献值</w:t>
                  </w:r>
                </w:p>
              </w:tc>
              <w:tc>
                <w:tcPr>
                  <w:tcW w:w="628" w:type="pct"/>
                  <w:gridSpan w:val="2"/>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噪声预测值</w:t>
                  </w:r>
                </w:p>
              </w:tc>
              <w:tc>
                <w:tcPr>
                  <w:tcW w:w="515" w:type="pct"/>
                  <w:gridSpan w:val="2"/>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较现状增量</w:t>
                  </w:r>
                </w:p>
              </w:tc>
              <w:tc>
                <w:tcPr>
                  <w:tcW w:w="459" w:type="pct"/>
                  <w:gridSpan w:val="2"/>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305" w:type="pct"/>
                  <w:vMerge w:val="continue"/>
                  <w:vAlign w:val="center"/>
                </w:tcPr>
                <w:p>
                  <w:pPr>
                    <w:widowControl/>
                    <w:jc w:val="center"/>
                    <w:rPr>
                      <w:color w:val="auto"/>
                      <w:kern w:val="0"/>
                      <w:sz w:val="21"/>
                      <w:szCs w:val="21"/>
                      <w:lang w:bidi="ar"/>
                    </w:rPr>
                  </w:pPr>
                </w:p>
              </w:tc>
              <w:tc>
                <w:tcPr>
                  <w:tcW w:w="285"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229"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昼间</w:t>
                  </w: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夜间</w:t>
                  </w: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昼间</w:t>
                  </w: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夜间</w:t>
                  </w:r>
                </w:p>
              </w:tc>
              <w:tc>
                <w:tcPr>
                  <w:tcW w:w="229"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昼间</w:t>
                  </w:r>
                </w:p>
              </w:tc>
              <w:tc>
                <w:tcPr>
                  <w:tcW w:w="229"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夜间</w:t>
                  </w: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昼间</w:t>
                  </w: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夜间</w:t>
                  </w: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昼间</w:t>
                  </w:r>
                </w:p>
              </w:tc>
              <w:tc>
                <w:tcPr>
                  <w:tcW w:w="314"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夜间</w:t>
                  </w:r>
                </w:p>
              </w:tc>
              <w:tc>
                <w:tcPr>
                  <w:tcW w:w="257"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昼间</w:t>
                  </w:r>
                </w:p>
              </w:tc>
              <w:tc>
                <w:tcPr>
                  <w:tcW w:w="257"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夜间</w:t>
                  </w:r>
                </w:p>
              </w:tc>
              <w:tc>
                <w:tcPr>
                  <w:tcW w:w="229"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昼间</w:t>
                  </w:r>
                </w:p>
              </w:tc>
              <w:tc>
                <w:tcPr>
                  <w:tcW w:w="229" w:type="pct"/>
                  <w:vAlign w:val="center"/>
                </w:tcPr>
                <w:p>
                  <w:pPr>
                    <w:pStyle w:val="54"/>
                    <w:spacing w:line="240" w:lineRule="auto"/>
                    <w:ind w:firstLine="0" w:firstLineChars="0"/>
                    <w:jc w:val="center"/>
                    <w:rPr>
                      <w:rFonts w:hint="default" w:eastAsia="仿宋" w:cs="Times New Roman"/>
                      <w:b/>
                      <w:bCs/>
                      <w:color w:val="auto"/>
                      <w:sz w:val="21"/>
                      <w:szCs w:val="16"/>
                      <w:lang w:val="en-US" w:eastAsia="zh-CN"/>
                    </w:rPr>
                  </w:pPr>
                  <w:r>
                    <w:rPr>
                      <w:rFonts w:hint="eastAsia" w:eastAsia="仿宋" w:cs="Times New Roman"/>
                      <w:b/>
                      <w:bCs/>
                      <w:color w:val="auto"/>
                      <w:sz w:val="21"/>
                      <w:szCs w:val="16"/>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1</w:t>
                  </w:r>
                </w:p>
              </w:tc>
              <w:tc>
                <w:tcPr>
                  <w:tcW w:w="305" w:type="pct"/>
                  <w:vAlign w:val="center"/>
                </w:tcPr>
                <w:p>
                  <w:pPr>
                    <w:widowControl/>
                    <w:jc w:val="center"/>
                    <w:rPr>
                      <w:rFonts w:hint="eastAsia" w:eastAsia="仿宋" w:cs="Times New Roman"/>
                      <w:color w:val="auto"/>
                      <w:sz w:val="21"/>
                      <w:szCs w:val="21"/>
                      <w:lang w:val="en-US" w:eastAsia="zh-CN"/>
                    </w:rPr>
                  </w:pPr>
                  <w:r>
                    <w:rPr>
                      <w:rFonts w:hint="eastAsia" w:ascii="Times New Roman" w:hAnsi="Times New Roman" w:eastAsia="仿宋" w:cs="Times New Roman"/>
                      <w:color w:val="auto"/>
                      <w:kern w:val="0"/>
                      <w:sz w:val="21"/>
                      <w:szCs w:val="16"/>
                      <w:lang w:val="en-US" w:eastAsia="zh-CN" w:bidi="ar-SA"/>
                    </w:rPr>
                    <w:t>备选机位</w:t>
                  </w:r>
                  <w:r>
                    <w:rPr>
                      <w:color w:val="auto"/>
                      <w:kern w:val="0"/>
                      <w:sz w:val="21"/>
                      <w:szCs w:val="21"/>
                      <w:lang w:bidi="ar"/>
                    </w:rPr>
                    <w:t xml:space="preserve"> </w:t>
                  </w:r>
                </w:p>
              </w:tc>
              <w:tc>
                <w:tcPr>
                  <w:tcW w:w="285"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650</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白洋坪</w:t>
                  </w:r>
                </w:p>
              </w:tc>
              <w:tc>
                <w:tcPr>
                  <w:tcW w:w="314" w:type="pct"/>
                  <w:shd w:val="clear" w:color="auto" w:fill="auto"/>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51</w:t>
                  </w:r>
                </w:p>
              </w:tc>
              <w:tc>
                <w:tcPr>
                  <w:tcW w:w="314" w:type="pct"/>
                  <w:shd w:val="clear" w:color="auto" w:fill="auto"/>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43</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51</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43</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55</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45</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38.6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38.6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51.2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44.3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0.2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1.3 </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2</w:t>
                  </w:r>
                </w:p>
              </w:tc>
              <w:tc>
                <w:tcPr>
                  <w:tcW w:w="305" w:type="pct"/>
                  <w:vAlign w:val="center"/>
                </w:tcPr>
                <w:p>
                  <w:pPr>
                    <w:widowControl/>
                    <w:jc w:val="center"/>
                    <w:rPr>
                      <w:rFonts w:hint="eastAsia" w:eastAsia="仿宋" w:cs="Times New Roman"/>
                      <w:color w:val="auto"/>
                      <w:sz w:val="21"/>
                      <w:szCs w:val="21"/>
                      <w:lang w:val="en-US" w:eastAsia="zh-CN"/>
                    </w:rPr>
                  </w:pPr>
                  <w:r>
                    <w:rPr>
                      <w:rFonts w:hint="eastAsia"/>
                      <w:color w:val="auto"/>
                      <w:kern w:val="0"/>
                      <w:sz w:val="21"/>
                      <w:szCs w:val="21"/>
                      <w:lang w:val="en-US" w:eastAsia="zh-CN" w:bidi="ar"/>
                    </w:rPr>
                    <w:t>D</w:t>
                  </w:r>
                  <w:r>
                    <w:rPr>
                      <w:color w:val="auto"/>
                      <w:kern w:val="0"/>
                      <w:sz w:val="21"/>
                      <w:szCs w:val="21"/>
                      <w:lang w:bidi="ar"/>
                    </w:rPr>
                    <w:t xml:space="preserve">02 </w:t>
                  </w:r>
                </w:p>
              </w:tc>
              <w:tc>
                <w:tcPr>
                  <w:tcW w:w="285"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1080</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茶园沟</w:t>
                  </w:r>
                </w:p>
              </w:tc>
              <w:tc>
                <w:tcPr>
                  <w:tcW w:w="314"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53</w:t>
                  </w:r>
                </w:p>
              </w:tc>
              <w:tc>
                <w:tcPr>
                  <w:tcW w:w="314"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42</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53</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42</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55</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45</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34.3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34.3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53.1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42.7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0.1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0.7 </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3</w:t>
                  </w:r>
                </w:p>
              </w:tc>
              <w:tc>
                <w:tcPr>
                  <w:tcW w:w="305" w:type="pct"/>
                  <w:vAlign w:val="center"/>
                </w:tcPr>
                <w:p>
                  <w:pPr>
                    <w:widowControl/>
                    <w:jc w:val="center"/>
                    <w:rPr>
                      <w:rFonts w:hint="eastAsia" w:eastAsia="仿宋" w:cs="Times New Roman"/>
                      <w:color w:val="auto"/>
                      <w:sz w:val="21"/>
                      <w:szCs w:val="21"/>
                      <w:lang w:val="en-US" w:eastAsia="zh-CN"/>
                    </w:rPr>
                  </w:pPr>
                  <w:r>
                    <w:rPr>
                      <w:rFonts w:hint="eastAsia"/>
                      <w:color w:val="auto"/>
                      <w:kern w:val="0"/>
                      <w:sz w:val="21"/>
                      <w:szCs w:val="21"/>
                      <w:lang w:val="en-US" w:eastAsia="zh-CN" w:bidi="ar"/>
                    </w:rPr>
                    <w:t>D05</w:t>
                  </w:r>
                  <w:r>
                    <w:rPr>
                      <w:color w:val="auto"/>
                      <w:kern w:val="0"/>
                      <w:sz w:val="21"/>
                      <w:szCs w:val="21"/>
                      <w:lang w:bidi="ar"/>
                    </w:rPr>
                    <w:t xml:space="preserve"> </w:t>
                  </w:r>
                </w:p>
              </w:tc>
              <w:tc>
                <w:tcPr>
                  <w:tcW w:w="285"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1700</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石门</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default" w:eastAsia="仿宋" w:cs="Times New Roman"/>
                      <w:color w:val="auto"/>
                      <w:sz w:val="21"/>
                      <w:szCs w:val="16"/>
                      <w:lang w:val="en-US" w:eastAsia="zh-CN"/>
                    </w:rPr>
                    <w:t>4</w:t>
                  </w:r>
                  <w:r>
                    <w:rPr>
                      <w:rFonts w:hint="eastAsia" w:eastAsia="仿宋" w:cs="Times New Roman"/>
                      <w:color w:val="auto"/>
                      <w:sz w:val="21"/>
                      <w:szCs w:val="16"/>
                      <w:lang w:val="en-US" w:eastAsia="zh-CN"/>
                    </w:rPr>
                    <w:t>6</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43</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default" w:eastAsia="仿宋" w:cs="Times New Roman"/>
                      <w:color w:val="auto"/>
                      <w:sz w:val="21"/>
                      <w:szCs w:val="16"/>
                      <w:lang w:val="en-US" w:eastAsia="zh-CN"/>
                    </w:rPr>
                    <w:t>4</w:t>
                  </w:r>
                  <w:r>
                    <w:rPr>
                      <w:rFonts w:hint="eastAsia" w:eastAsia="仿宋" w:cs="Times New Roman"/>
                      <w:color w:val="auto"/>
                      <w:sz w:val="21"/>
                      <w:szCs w:val="16"/>
                      <w:lang w:val="en-US" w:eastAsia="zh-CN"/>
                    </w:rPr>
                    <w:t>6</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43</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55</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45</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30.4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30.4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46.1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43.2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0.1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0.2 </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w:t>
                  </w:r>
                </w:p>
              </w:tc>
              <w:tc>
                <w:tcPr>
                  <w:tcW w:w="305" w:type="pct"/>
                  <w:vAlign w:val="center"/>
                </w:tcPr>
                <w:p>
                  <w:pPr>
                    <w:widowControl/>
                    <w:jc w:val="center"/>
                    <w:rPr>
                      <w:rFonts w:hint="eastAsia" w:eastAsia="仿宋" w:cs="Times New Roman"/>
                      <w:color w:val="auto"/>
                      <w:sz w:val="21"/>
                      <w:szCs w:val="21"/>
                      <w:lang w:val="en-US" w:eastAsia="zh-CN"/>
                    </w:rPr>
                  </w:pPr>
                  <w:r>
                    <w:rPr>
                      <w:rFonts w:hint="eastAsia"/>
                      <w:color w:val="auto"/>
                      <w:kern w:val="0"/>
                      <w:sz w:val="21"/>
                      <w:szCs w:val="21"/>
                      <w:lang w:val="en-US" w:eastAsia="zh-CN" w:bidi="ar"/>
                    </w:rPr>
                    <w:t>D06</w:t>
                  </w:r>
                  <w:r>
                    <w:rPr>
                      <w:color w:val="auto"/>
                      <w:kern w:val="0"/>
                      <w:sz w:val="21"/>
                      <w:szCs w:val="21"/>
                      <w:lang w:bidi="ar"/>
                    </w:rPr>
                    <w:t xml:space="preserve"> </w:t>
                  </w:r>
                </w:p>
              </w:tc>
              <w:tc>
                <w:tcPr>
                  <w:tcW w:w="285"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760</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天星桥</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51</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42</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51</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42</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55</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45</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37.3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37.3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51.2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43.3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0.2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1.3 </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w:t>
                  </w:r>
                </w:p>
              </w:tc>
              <w:tc>
                <w:tcPr>
                  <w:tcW w:w="305" w:type="pct"/>
                  <w:vAlign w:val="center"/>
                </w:tcPr>
                <w:p>
                  <w:pPr>
                    <w:widowControl/>
                    <w:jc w:val="center"/>
                    <w:rPr>
                      <w:rFonts w:hint="default" w:eastAsia="仿宋" w:cs="Times New Roman"/>
                      <w:color w:val="auto"/>
                      <w:sz w:val="21"/>
                      <w:szCs w:val="21"/>
                      <w:lang w:val="en-US" w:eastAsia="zh-CN"/>
                    </w:rPr>
                  </w:pPr>
                  <w:r>
                    <w:rPr>
                      <w:rFonts w:hint="eastAsia" w:eastAsia="仿宋"/>
                      <w:color w:val="auto"/>
                      <w:kern w:val="0"/>
                      <w:sz w:val="21"/>
                      <w:szCs w:val="21"/>
                      <w:lang w:val="en-US" w:eastAsia="zh-CN" w:bidi="ar"/>
                    </w:rPr>
                    <w:t>D09</w:t>
                  </w:r>
                </w:p>
              </w:tc>
              <w:tc>
                <w:tcPr>
                  <w:tcW w:w="285"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950</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枞树村</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52</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42</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52</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42</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55</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45</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35.4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35.4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52.1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42.9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0.1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0.9 </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6</w:t>
                  </w:r>
                </w:p>
              </w:tc>
              <w:tc>
                <w:tcPr>
                  <w:tcW w:w="305" w:type="pct"/>
                  <w:vAlign w:val="center"/>
                </w:tcPr>
                <w:p>
                  <w:pPr>
                    <w:widowControl/>
                    <w:jc w:val="center"/>
                    <w:rPr>
                      <w:rFonts w:hint="default" w:eastAsia="仿宋" w:cs="Times New Roman"/>
                      <w:color w:val="auto"/>
                      <w:sz w:val="21"/>
                      <w:szCs w:val="21"/>
                      <w:lang w:val="en-US" w:eastAsia="zh-CN"/>
                    </w:rPr>
                  </w:pPr>
                  <w:r>
                    <w:rPr>
                      <w:rFonts w:hint="eastAsia" w:eastAsia="仿宋"/>
                      <w:color w:val="auto"/>
                      <w:kern w:val="0"/>
                      <w:sz w:val="21"/>
                      <w:szCs w:val="21"/>
                      <w:lang w:val="en-US" w:eastAsia="zh-CN" w:bidi="ar"/>
                    </w:rPr>
                    <w:t>D10</w:t>
                  </w:r>
                </w:p>
              </w:tc>
              <w:tc>
                <w:tcPr>
                  <w:tcW w:w="285"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740</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张公塘村</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46</w:t>
                  </w:r>
                </w:p>
              </w:tc>
              <w:tc>
                <w:tcPr>
                  <w:tcW w:w="314" w:type="pct"/>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41</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46</w:t>
                  </w:r>
                </w:p>
              </w:tc>
              <w:tc>
                <w:tcPr>
                  <w:tcW w:w="584" w:type="dxa"/>
                  <w:shd w:val="clear" w:color="auto" w:fill="auto"/>
                  <w:vAlign w:val="center"/>
                </w:tcPr>
                <w:p>
                  <w:pPr>
                    <w:pStyle w:val="54"/>
                    <w:spacing w:line="240" w:lineRule="auto"/>
                    <w:ind w:firstLine="0" w:firstLineChars="0"/>
                    <w:jc w:val="center"/>
                    <w:rPr>
                      <w:rFonts w:hint="default" w:ascii="Times New Roman" w:hAnsi="Times New Roman" w:eastAsia="仿宋" w:cs="Times New Roman"/>
                      <w:color w:val="auto"/>
                      <w:kern w:val="0"/>
                      <w:sz w:val="21"/>
                      <w:szCs w:val="16"/>
                      <w:lang w:val="en-US" w:eastAsia="zh-CN" w:bidi="ar-SA"/>
                    </w:rPr>
                  </w:pPr>
                  <w:r>
                    <w:rPr>
                      <w:rFonts w:hint="eastAsia" w:eastAsia="仿宋" w:cs="Times New Roman"/>
                      <w:color w:val="auto"/>
                      <w:sz w:val="21"/>
                      <w:szCs w:val="16"/>
                      <w:lang w:val="en-US" w:eastAsia="zh-CN"/>
                    </w:rPr>
                    <w:t>41</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55</w:t>
                  </w:r>
                </w:p>
              </w:tc>
              <w:tc>
                <w:tcPr>
                  <w:tcW w:w="229" w:type="pct"/>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45</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37.5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37.5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46.6 </w:t>
                  </w:r>
                </w:p>
              </w:tc>
              <w:tc>
                <w:tcPr>
                  <w:tcW w:w="584"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42.6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0.6 </w:t>
                  </w:r>
                </w:p>
              </w:tc>
              <w:tc>
                <w:tcPr>
                  <w:tcW w:w="479" w:type="dxa"/>
                  <w:vAlign w:val="center"/>
                </w:tcPr>
                <w:p>
                  <w:pPr>
                    <w:pStyle w:val="54"/>
                    <w:spacing w:line="240" w:lineRule="auto"/>
                    <w:ind w:firstLine="0" w:firstLineChars="0"/>
                    <w:jc w:val="center"/>
                    <w:rPr>
                      <w:rFonts w:hint="default" w:eastAsia="仿宋" w:cs="Times New Roman"/>
                      <w:color w:val="auto"/>
                      <w:sz w:val="21"/>
                      <w:szCs w:val="16"/>
                      <w:lang w:val="en-US" w:eastAsia="zh-CN"/>
                    </w:rPr>
                  </w:pPr>
                  <w:r>
                    <w:rPr>
                      <w:rFonts w:hint="eastAsia" w:eastAsia="仿宋" w:cs="Times New Roman"/>
                      <w:color w:val="auto"/>
                      <w:sz w:val="21"/>
                      <w:szCs w:val="16"/>
                      <w:lang w:val="en-US" w:eastAsia="zh-CN"/>
                    </w:rPr>
                    <w:t xml:space="preserve">1.6 </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c>
                <w:tcPr>
                  <w:tcW w:w="229" w:type="pct"/>
                  <w:vAlign w:val="center"/>
                </w:tcPr>
                <w:p>
                  <w:pPr>
                    <w:keepNext w:val="0"/>
                    <w:keepLines w:val="0"/>
                    <w:widowControl/>
                    <w:suppressLineNumbers w:val="0"/>
                    <w:jc w:val="center"/>
                    <w:textAlignment w:val="center"/>
                    <w:rPr>
                      <w:rFonts w:hint="default" w:eastAsia="仿宋" w:cs="Times New Roman"/>
                      <w:color w:val="auto"/>
                      <w:sz w:val="21"/>
                      <w:szCs w:val="16"/>
                      <w:lang w:val="en-US" w:eastAsia="zh-CN"/>
                    </w:rPr>
                  </w:pPr>
                  <w:r>
                    <w:rPr>
                      <w:rFonts w:hint="eastAsia" w:ascii="仿宋" w:hAnsi="仿宋" w:eastAsia="仿宋" w:cs="仿宋"/>
                      <w:i w:val="0"/>
                      <w:iCs w:val="0"/>
                      <w:color w:val="auto"/>
                      <w:kern w:val="0"/>
                      <w:sz w:val="21"/>
                      <w:szCs w:val="21"/>
                      <w:u w:val="none"/>
                      <w:lang w:val="en-US" w:eastAsia="zh-CN" w:bidi="ar"/>
                    </w:rPr>
                    <w:t>达标</w:t>
                  </w:r>
                </w:p>
              </w:tc>
            </w:tr>
          </w:tbl>
          <w:p>
            <w:pPr>
              <w:pStyle w:val="28"/>
              <w:spacing w:line="360" w:lineRule="auto"/>
              <w:ind w:firstLine="480" w:firstLineChars="200"/>
              <w:rPr>
                <w:rFonts w:hint="default" w:ascii="Times New Roman" w:hAnsi="Times New Roman" w:eastAsia="仿宋" w:cs="Times New Roman"/>
                <w:snapToGrid w:val="0"/>
                <w:color w:val="auto"/>
                <w:kern w:val="2"/>
                <w:lang w:val="en-US" w:eastAsia="zh-CN"/>
              </w:rPr>
            </w:pPr>
            <w:r>
              <w:rPr>
                <w:rFonts w:hint="eastAsia" w:ascii="Times New Roman" w:eastAsia="仿宋" w:cs="Times New Roman"/>
                <w:snapToGrid w:val="0"/>
                <w:color w:val="auto"/>
                <w:kern w:val="2"/>
                <w:lang w:val="en-US" w:eastAsia="zh-CN"/>
              </w:rPr>
              <w:t>根据预测上表可知，项目风机投运后，周边居民点处昼夜噪声满足GB3096-2008《声环境质量标准》中1类标准要求（昼间：55dB（A）、夜间45dB（A））。</w:t>
            </w:r>
          </w:p>
          <w:p>
            <w:pPr>
              <w:pStyle w:val="28"/>
              <w:spacing w:line="360" w:lineRule="auto"/>
              <w:ind w:firstLine="480" w:firstLineChars="200"/>
              <w:rPr>
                <w:rFonts w:hint="default" w:ascii="Times New Roman" w:hAnsi="Times New Roman" w:eastAsia="仿宋" w:cs="Times New Roman"/>
                <w:snapToGrid w:val="0"/>
                <w:color w:val="auto"/>
                <w:kern w:val="2"/>
              </w:rPr>
            </w:pPr>
            <w:r>
              <w:rPr>
                <w:rFonts w:hint="default" w:ascii="Times New Roman" w:hAnsi="Times New Roman" w:eastAsia="仿宋" w:cs="Times New Roman"/>
                <w:snapToGrid w:val="0"/>
                <w:color w:val="auto"/>
                <w:kern w:val="2"/>
              </w:rPr>
              <w:t>综上，项目风机拟选位置</w:t>
            </w:r>
            <w:r>
              <w:rPr>
                <w:rFonts w:hint="eastAsia" w:ascii="Times New Roman" w:eastAsia="仿宋" w:cs="Times New Roman"/>
                <w:snapToGrid w:val="0"/>
                <w:color w:val="auto"/>
                <w:kern w:val="2"/>
                <w:lang w:eastAsia="zh-CN"/>
              </w:rPr>
              <w:t>510m</w:t>
            </w:r>
            <w:r>
              <w:rPr>
                <w:rFonts w:hint="default" w:ascii="Times New Roman" w:hAnsi="Times New Roman" w:eastAsia="仿宋" w:cs="Times New Roman"/>
                <w:snapToGrid w:val="0"/>
                <w:color w:val="auto"/>
                <w:kern w:val="2"/>
              </w:rPr>
              <w:t>范围内无声环境敏感目标，风机噪声对周围环境影响较小；风机周围</w:t>
            </w:r>
            <w:r>
              <w:rPr>
                <w:rFonts w:hint="eastAsia" w:ascii="Times New Roman" w:eastAsia="仿宋" w:cs="Times New Roman"/>
                <w:snapToGrid w:val="0"/>
                <w:color w:val="auto"/>
                <w:kern w:val="2"/>
                <w:lang w:eastAsia="zh-CN"/>
              </w:rPr>
              <w:t>510m</w:t>
            </w:r>
            <w:r>
              <w:rPr>
                <w:rFonts w:hint="default" w:ascii="Times New Roman" w:hAnsi="Times New Roman" w:eastAsia="仿宋" w:cs="Times New Roman"/>
                <w:snapToGrid w:val="0"/>
                <w:color w:val="auto"/>
                <w:kern w:val="2"/>
              </w:rPr>
              <w:t>应作为噪声控制范围，不宜建设对噪声敏感的居民住宅、学校、医院等声环境敏感建筑物。</w:t>
            </w:r>
          </w:p>
          <w:p>
            <w:pPr>
              <w:adjustRightInd w:val="0"/>
              <w:snapToGrid w:val="0"/>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4.2升压站噪声预测分析</w:t>
            </w:r>
          </w:p>
          <w:p>
            <w:pPr>
              <w:adjustRightInd w:val="0"/>
              <w:snapToGrid w:val="0"/>
              <w:spacing w:line="360" w:lineRule="auto"/>
              <w:ind w:firstLine="360" w:firstLineChars="15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（1）噪声源强</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升压站运行期间的噪声主要是由主变运行产生的，本环评按主变1m处声压级为</w:t>
            </w:r>
            <w:r>
              <w:rPr>
                <w:rFonts w:hint="eastAsia" w:eastAsia="仿宋" w:cs="Times New Roman"/>
                <w:color w:val="auto"/>
                <w:sz w:val="24"/>
                <w:lang w:val="en-US" w:eastAsia="zh-CN"/>
              </w:rPr>
              <w:t>70</w:t>
            </w:r>
            <w:r>
              <w:rPr>
                <w:rFonts w:hint="default" w:ascii="Times New Roman" w:hAnsi="Times New Roman" w:eastAsia="仿宋" w:cs="Times New Roman"/>
                <w:color w:val="auto"/>
                <w:sz w:val="24"/>
              </w:rPr>
              <w:t>dB（A）进行分析。</w:t>
            </w:r>
          </w:p>
          <w:p>
            <w:pPr>
              <w:adjustRightInd w:val="0"/>
              <w:snapToGrid w:val="0"/>
              <w:jc w:val="center"/>
              <w:rPr>
                <w:rFonts w:hint="default" w:ascii="Times New Roman" w:hAnsi="Times New Roman" w:eastAsia="仿宋" w:cs="Times New Roman"/>
                <w:b/>
                <w:bCs/>
                <w:color w:val="auto"/>
                <w:szCs w:val="21"/>
                <w:lang w:val="en-US" w:eastAsia="zh-CN"/>
              </w:rPr>
            </w:pPr>
            <w:r>
              <w:rPr>
                <w:rFonts w:hint="eastAsia" w:eastAsia="仿宋" w:cs="Times New Roman"/>
                <w:b/>
                <w:bCs/>
                <w:color w:val="auto"/>
                <w:szCs w:val="21"/>
                <w:lang w:val="en-US" w:eastAsia="zh-CN"/>
              </w:rPr>
              <w:t>表4-14 升压站</w:t>
            </w:r>
            <w:r>
              <w:rPr>
                <w:rFonts w:hint="eastAsia" w:ascii="Times New Roman" w:hAnsi="Times New Roman" w:eastAsia="仿宋" w:cs="Times New Roman"/>
                <w:b/>
                <w:bCs/>
                <w:color w:val="auto"/>
                <w:szCs w:val="21"/>
                <w:lang w:val="en-US" w:eastAsia="zh-CN"/>
              </w:rPr>
              <w:t>噪声源强调查清单</w:t>
            </w:r>
          </w:p>
          <w:tbl>
            <w:tblPr>
              <w:tblStyle w:val="2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838"/>
              <w:gridCol w:w="1640"/>
              <w:gridCol w:w="575"/>
              <w:gridCol w:w="575"/>
              <w:gridCol w:w="578"/>
              <w:gridCol w:w="2128"/>
              <w:gridCol w:w="911"/>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7" w:type="pct"/>
                  <w:vMerge w:val="restar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序号</w:t>
                  </w:r>
                </w:p>
              </w:tc>
              <w:tc>
                <w:tcPr>
                  <w:tcW w:w="514"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声源名称</w:t>
                  </w:r>
                </w:p>
              </w:tc>
              <w:tc>
                <w:tcPr>
                  <w:tcW w:w="644"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型号</w:t>
                  </w:r>
                </w:p>
              </w:tc>
              <w:tc>
                <w:tcPr>
                  <w:tcW w:w="1093" w:type="pct"/>
                  <w:gridSpan w:val="3"/>
                  <w:vAlign w:val="center"/>
                </w:tcPr>
                <w:p>
                  <w:pPr>
                    <w:pStyle w:val="54"/>
                    <w:spacing w:line="240" w:lineRule="auto"/>
                    <w:ind w:firstLine="0" w:firstLineChars="0"/>
                    <w:jc w:val="center"/>
                    <w:rPr>
                      <w:rFonts w:hint="eastAsia" w:eastAsia="仿宋" w:cs="Times New Roman"/>
                      <w:b/>
                      <w:bCs/>
                      <w:color w:val="auto"/>
                      <w:sz w:val="21"/>
                      <w:szCs w:val="16"/>
                      <w:lang w:val="en-US" w:eastAsia="zh-CN"/>
                    </w:rPr>
                  </w:pPr>
                  <w:r>
                    <w:rPr>
                      <w:rFonts w:hint="eastAsia" w:eastAsia="仿宋" w:cs="Times New Roman"/>
                      <w:b/>
                      <w:bCs/>
                      <w:color w:val="auto"/>
                      <w:sz w:val="21"/>
                      <w:szCs w:val="16"/>
                      <w:lang w:val="en-US" w:eastAsia="zh-CN"/>
                    </w:rPr>
                    <w:t>空间相对位置/m</w:t>
                  </w:r>
                </w:p>
              </w:tc>
              <w:tc>
                <w:tcPr>
                  <w:tcW w:w="1248" w:type="pc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声源源强</w:t>
                  </w:r>
                </w:p>
              </w:tc>
              <w:tc>
                <w:tcPr>
                  <w:tcW w:w="555"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声源控制措施</w:t>
                  </w:r>
                </w:p>
              </w:tc>
              <w:tc>
                <w:tcPr>
                  <w:tcW w:w="555"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7"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514"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644" w:type="pct"/>
                  <w:vMerge w:val="continue"/>
                  <w:vAlign w:val="center"/>
                </w:tcPr>
                <w:p>
                  <w:pPr>
                    <w:pStyle w:val="54"/>
                    <w:spacing w:line="240" w:lineRule="auto"/>
                    <w:ind w:firstLine="0" w:firstLineChars="0"/>
                    <w:jc w:val="center"/>
                    <w:rPr>
                      <w:rFonts w:hint="eastAsia" w:eastAsia="仿宋" w:cs="Times New Roman"/>
                      <w:color w:val="auto"/>
                      <w:sz w:val="21"/>
                      <w:szCs w:val="16"/>
                      <w:lang w:val="en-US" w:eastAsia="zh-CN"/>
                    </w:rPr>
                  </w:pPr>
                </w:p>
              </w:tc>
              <w:tc>
                <w:tcPr>
                  <w:tcW w:w="364" w:type="pc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X</w:t>
                  </w:r>
                </w:p>
              </w:tc>
              <w:tc>
                <w:tcPr>
                  <w:tcW w:w="364" w:type="pc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Y</w:t>
                  </w:r>
                </w:p>
              </w:tc>
              <w:tc>
                <w:tcPr>
                  <w:tcW w:w="364" w:type="pct"/>
                  <w:vAlign w:val="center"/>
                </w:tcPr>
                <w:p>
                  <w:pPr>
                    <w:pStyle w:val="54"/>
                    <w:spacing w:line="240" w:lineRule="auto"/>
                    <w:ind w:firstLine="0" w:firstLineChars="0"/>
                    <w:jc w:val="center"/>
                    <w:rPr>
                      <w:rFonts w:hint="eastAsia"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Z</w:t>
                  </w:r>
                </w:p>
              </w:tc>
              <w:tc>
                <w:tcPr>
                  <w:tcW w:w="1248" w:type="pc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16"/>
                      <w:lang w:val="en-US" w:eastAsia="zh-CN"/>
                    </w:rPr>
                  </w:pPr>
                  <w:r>
                    <w:rPr>
                      <w:rFonts w:hint="eastAsia" w:eastAsia="仿宋" w:cs="Times New Roman"/>
                      <w:b/>
                      <w:bCs/>
                      <w:color w:val="auto"/>
                      <w:sz w:val="21"/>
                      <w:szCs w:val="16"/>
                      <w:lang w:val="en-US" w:eastAsia="zh-CN"/>
                    </w:rPr>
                    <w:t>(声压级/距声源距离)（dB（A）/m）</w:t>
                  </w:r>
                </w:p>
              </w:tc>
              <w:tc>
                <w:tcPr>
                  <w:tcW w:w="555" w:type="pct"/>
                  <w:vMerge w:val="continue"/>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p>
              </w:tc>
              <w:tc>
                <w:tcPr>
                  <w:tcW w:w="555" w:type="pct"/>
                  <w:vMerge w:val="continue"/>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87"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1</w:t>
                  </w:r>
                </w:p>
              </w:tc>
              <w:tc>
                <w:tcPr>
                  <w:tcW w:w="51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主变</w:t>
                  </w:r>
                </w:p>
              </w:tc>
              <w:tc>
                <w:tcPr>
                  <w:tcW w:w="644"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SZ18-50000/110</w:t>
                  </w:r>
                </w:p>
              </w:tc>
              <w:tc>
                <w:tcPr>
                  <w:tcW w:w="36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36</w:t>
                  </w:r>
                </w:p>
              </w:tc>
              <w:tc>
                <w:tcPr>
                  <w:tcW w:w="36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4.5</w:t>
                  </w:r>
                </w:p>
              </w:tc>
              <w:tc>
                <w:tcPr>
                  <w:tcW w:w="36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2</w:t>
                  </w:r>
                </w:p>
              </w:tc>
              <w:tc>
                <w:tcPr>
                  <w:tcW w:w="1248"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70/1</w:t>
                  </w:r>
                </w:p>
              </w:tc>
              <w:tc>
                <w:tcPr>
                  <w:tcW w:w="555"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基础减震</w:t>
                  </w:r>
                </w:p>
              </w:tc>
              <w:tc>
                <w:tcPr>
                  <w:tcW w:w="555"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全天</w:t>
                  </w:r>
                </w:p>
              </w:tc>
            </w:tr>
          </w:tbl>
          <w:p>
            <w:pPr>
              <w:adjustRightInd w:val="0"/>
              <w:snapToGrid w:val="0"/>
              <w:spacing w:line="360" w:lineRule="auto"/>
              <w:ind w:firstLine="480" w:firstLineChars="200"/>
              <w:rPr>
                <w:rFonts w:hint="default" w:ascii="Times New Roman" w:hAnsi="Times New Roman" w:eastAsia="仿宋" w:cs="Times New Roman"/>
                <w:color w:val="auto"/>
                <w:sz w:val="24"/>
              </w:rPr>
            </w:pPr>
          </w:p>
          <w:p>
            <w:pPr>
              <w:adjustRightInd w:val="0"/>
              <w:snapToGrid w:val="0"/>
              <w:spacing w:line="360" w:lineRule="auto"/>
              <w:ind w:firstLine="360" w:firstLineChars="15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（2）预测模式</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噪声从声源传播到受声点，受传播距离、空气吸收、阻挡物的反射与屏蔽等因素的影响，声压级产生衰减。</w:t>
            </w:r>
          </w:p>
          <w:p>
            <w:pPr>
              <w:adjustRightInd w:val="0"/>
              <w:snapToGrid w:val="0"/>
              <w:spacing w:line="360" w:lineRule="auto"/>
              <w:ind w:firstLine="560"/>
              <w:textAlignment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噪声预测采用HJ2.4-2021《环境影响评价技术导则-声环境》“附录A户外声传播的误差”，根据参考位置处的户外声传播衰减计算预测点的声级计算公式应为：</w:t>
            </w:r>
          </w:p>
          <w:p>
            <w:pPr>
              <w:keepNext w:val="0"/>
              <w:keepLines w:val="0"/>
              <w:suppressLineNumbers w:val="0"/>
              <w:spacing w:before="0" w:beforeAutospacing="0" w:after="0" w:afterAutospacing="0" w:line="360" w:lineRule="auto"/>
              <w:ind w:left="0" w:right="0"/>
              <w:jc w:val="center"/>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L</w:t>
            </w:r>
            <w:r>
              <w:rPr>
                <w:rFonts w:hint="default" w:ascii="Times New Roman" w:hAnsi="Times New Roman" w:eastAsia="仿宋" w:cs="Times New Roman"/>
                <w:color w:val="auto"/>
                <w:sz w:val="24"/>
                <w:szCs w:val="21"/>
                <w:vertAlign w:val="subscript"/>
              </w:rPr>
              <w:t>p</w:t>
            </w:r>
            <w:r>
              <w:rPr>
                <w:rFonts w:hint="default" w:ascii="Times New Roman" w:hAnsi="Times New Roman" w:eastAsia="仿宋" w:cs="Times New Roman"/>
                <w:color w:val="auto"/>
                <w:sz w:val="24"/>
                <w:szCs w:val="21"/>
              </w:rPr>
              <w:t>（r）=L</w:t>
            </w:r>
            <w:r>
              <w:rPr>
                <w:rFonts w:hint="default" w:ascii="Times New Roman" w:hAnsi="Times New Roman" w:eastAsia="仿宋" w:cs="Times New Roman"/>
                <w:color w:val="auto"/>
                <w:sz w:val="24"/>
                <w:szCs w:val="21"/>
                <w:vertAlign w:val="subscript"/>
              </w:rPr>
              <w:t>p</w:t>
            </w:r>
            <w:r>
              <w:rPr>
                <w:rFonts w:hint="default" w:ascii="Times New Roman" w:hAnsi="Times New Roman" w:eastAsia="仿宋" w:cs="Times New Roman"/>
                <w:color w:val="auto"/>
                <w:sz w:val="24"/>
                <w:szCs w:val="21"/>
              </w:rPr>
              <w:t>（r</w:t>
            </w:r>
            <w:r>
              <w:rPr>
                <w:rFonts w:hint="default" w:ascii="Times New Roman" w:hAnsi="Times New Roman" w:eastAsia="仿宋" w:cs="Times New Roman"/>
                <w:color w:val="auto"/>
                <w:sz w:val="24"/>
                <w:szCs w:val="21"/>
                <w:vertAlign w:val="subscript"/>
              </w:rPr>
              <w:t>0</w:t>
            </w:r>
            <w:r>
              <w:rPr>
                <w:rFonts w:hint="default" w:ascii="Times New Roman" w:hAnsi="Times New Roman" w:eastAsia="仿宋" w:cs="Times New Roman"/>
                <w:color w:val="auto"/>
                <w:sz w:val="24"/>
                <w:szCs w:val="21"/>
              </w:rPr>
              <w:t>）</w:t>
            </w:r>
            <w:r>
              <w:rPr>
                <w:rFonts w:hint="eastAsia" w:ascii="Times New Roman" w:hAnsi="Times New Roman" w:eastAsia="仿宋" w:cs="Times New Roman"/>
                <w:color w:val="auto"/>
                <w:sz w:val="24"/>
                <w:szCs w:val="21"/>
                <w:lang w:val="en-US" w:eastAsia="zh-CN"/>
              </w:rPr>
              <w:t>+D</w:t>
            </w:r>
            <w:r>
              <w:rPr>
                <w:rFonts w:hint="eastAsia" w:ascii="Times New Roman" w:hAnsi="Times New Roman" w:eastAsia="仿宋" w:cs="Times New Roman"/>
                <w:color w:val="auto"/>
                <w:sz w:val="24"/>
                <w:szCs w:val="21"/>
                <w:vertAlign w:val="subscript"/>
                <w:lang w:val="en-US" w:eastAsia="zh-CN"/>
              </w:rPr>
              <w:t>c</w:t>
            </w: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div</w:t>
            </w: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atm</w:t>
            </w: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gr</w:t>
            </w: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bar</w:t>
            </w: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misc</w:t>
            </w:r>
            <w:r>
              <w:rPr>
                <w:rFonts w:hint="default" w:ascii="Times New Roman" w:hAnsi="Times New Roman" w:eastAsia="仿宋" w:cs="Times New Roman"/>
                <w:color w:val="auto"/>
                <w:sz w:val="24"/>
                <w:szCs w:val="21"/>
              </w:rPr>
              <w:t>）</w:t>
            </w:r>
          </w:p>
          <w:p>
            <w:pPr>
              <w:keepNext w:val="0"/>
              <w:keepLines w:val="0"/>
              <w:suppressLineNumbers w:val="0"/>
              <w:spacing w:before="0" w:beforeAutospacing="0" w:after="0" w:afterAutospacing="0" w:line="360" w:lineRule="auto"/>
              <w:ind w:left="0" w:right="0" w:firstLine="57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上式中： L</w:t>
            </w:r>
            <w:r>
              <w:rPr>
                <w:rFonts w:hint="default" w:ascii="Times New Roman" w:hAnsi="Times New Roman" w:eastAsia="仿宋" w:cs="Times New Roman"/>
                <w:color w:val="auto"/>
                <w:sz w:val="24"/>
                <w:szCs w:val="21"/>
                <w:vertAlign w:val="subscript"/>
              </w:rPr>
              <w:t>p</w:t>
            </w:r>
            <w:r>
              <w:rPr>
                <w:rFonts w:hint="default" w:ascii="Times New Roman" w:hAnsi="Times New Roman" w:eastAsia="仿宋" w:cs="Times New Roman"/>
                <w:color w:val="auto"/>
                <w:sz w:val="24"/>
                <w:szCs w:val="21"/>
              </w:rPr>
              <w:t>（r）——距离声源r处的倍频带声压级，dB；</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L</w:t>
            </w:r>
            <w:r>
              <w:rPr>
                <w:rFonts w:hint="default" w:ascii="Times New Roman" w:hAnsi="Times New Roman" w:eastAsia="仿宋" w:cs="Times New Roman"/>
                <w:color w:val="auto"/>
                <w:sz w:val="24"/>
                <w:szCs w:val="21"/>
                <w:vertAlign w:val="subscript"/>
              </w:rPr>
              <w:t>p</w:t>
            </w:r>
            <w:r>
              <w:rPr>
                <w:rFonts w:hint="default" w:ascii="Times New Roman" w:hAnsi="Times New Roman" w:eastAsia="仿宋" w:cs="Times New Roman"/>
                <w:color w:val="auto"/>
                <w:sz w:val="24"/>
                <w:szCs w:val="21"/>
              </w:rPr>
              <w:t>（r</w:t>
            </w:r>
            <w:r>
              <w:rPr>
                <w:rFonts w:hint="default" w:ascii="Times New Roman" w:hAnsi="Times New Roman" w:eastAsia="仿宋" w:cs="Times New Roman"/>
                <w:color w:val="auto"/>
                <w:sz w:val="24"/>
                <w:szCs w:val="21"/>
                <w:vertAlign w:val="subscript"/>
              </w:rPr>
              <w:t>0</w:t>
            </w:r>
            <w:r>
              <w:rPr>
                <w:rFonts w:hint="default" w:ascii="Times New Roman" w:hAnsi="Times New Roman" w:eastAsia="仿宋" w:cs="Times New Roman"/>
                <w:color w:val="auto"/>
                <w:sz w:val="24"/>
                <w:szCs w:val="21"/>
              </w:rPr>
              <w:t>）——参考位置r</w:t>
            </w:r>
            <w:r>
              <w:rPr>
                <w:rFonts w:hint="default" w:ascii="Times New Roman" w:hAnsi="Times New Roman" w:eastAsia="仿宋" w:cs="Times New Roman"/>
                <w:color w:val="auto"/>
                <w:sz w:val="24"/>
                <w:szCs w:val="21"/>
                <w:vertAlign w:val="subscript"/>
              </w:rPr>
              <w:t>0</w:t>
            </w:r>
            <w:r>
              <w:rPr>
                <w:rFonts w:hint="default" w:ascii="Times New Roman" w:hAnsi="Times New Roman" w:eastAsia="仿宋" w:cs="Times New Roman"/>
                <w:color w:val="auto"/>
                <w:sz w:val="24"/>
                <w:szCs w:val="21"/>
              </w:rPr>
              <w:t>处的倍频带声压级，dB；</w:t>
            </w:r>
          </w:p>
          <w:p>
            <w:pPr>
              <w:keepNext w:val="0"/>
              <w:keepLines w:val="0"/>
              <w:suppressLineNumbers w:val="0"/>
              <w:spacing w:before="0" w:beforeAutospacing="0" w:after="0" w:afterAutospacing="0" w:line="360" w:lineRule="auto"/>
              <w:ind w:left="2396" w:leftChars="798" w:right="0" w:hanging="720" w:hangingChars="300"/>
              <w:rPr>
                <w:rFonts w:hint="default" w:eastAsia="仿宋"/>
                <w:color w:val="auto"/>
                <w:lang w:val="en-US" w:eastAsia="zh-CN"/>
              </w:rPr>
            </w:pPr>
            <w:r>
              <w:rPr>
                <w:rFonts w:hint="eastAsia" w:ascii="Times New Roman" w:hAnsi="Times New Roman" w:eastAsia="仿宋" w:cs="Times New Roman"/>
                <w:color w:val="auto"/>
                <w:sz w:val="24"/>
                <w:szCs w:val="21"/>
                <w:lang w:val="en-US" w:eastAsia="zh-CN"/>
              </w:rPr>
              <w:t>D</w:t>
            </w:r>
            <w:r>
              <w:rPr>
                <w:rFonts w:hint="eastAsia" w:ascii="Times New Roman" w:hAnsi="Times New Roman" w:eastAsia="仿宋" w:cs="Times New Roman"/>
                <w:color w:val="auto"/>
                <w:sz w:val="24"/>
                <w:szCs w:val="21"/>
                <w:vertAlign w:val="subscript"/>
                <w:lang w:val="en-US" w:eastAsia="zh-CN"/>
              </w:rPr>
              <w:t>c</w:t>
            </w:r>
            <w:r>
              <w:rPr>
                <w:rFonts w:hint="default" w:ascii="Times New Roman" w:hAnsi="Times New Roman" w:eastAsia="仿宋" w:cs="Times New Roman"/>
                <w:color w:val="auto"/>
                <w:sz w:val="24"/>
                <w:szCs w:val="21"/>
              </w:rPr>
              <w:t>——</w:t>
            </w:r>
            <w:r>
              <w:rPr>
                <w:rFonts w:hint="eastAsia" w:ascii="Times New Roman" w:hAnsi="Times New Roman" w:eastAsia="仿宋" w:cs="Times New Roman"/>
                <w:color w:val="auto"/>
                <w:sz w:val="24"/>
                <w:szCs w:val="21"/>
                <w:lang w:val="en-US" w:eastAsia="zh-CN"/>
              </w:rPr>
              <w:t>指向性校正，它描述点声源的等效连续声压级与产生声功率L</w:t>
            </w:r>
            <w:r>
              <w:rPr>
                <w:rFonts w:hint="eastAsia" w:ascii="Times New Roman" w:hAnsi="Times New Roman" w:eastAsia="仿宋" w:cs="Times New Roman"/>
                <w:color w:val="auto"/>
                <w:sz w:val="24"/>
                <w:szCs w:val="21"/>
                <w:vertAlign w:val="subscript"/>
                <w:lang w:val="en-US" w:eastAsia="zh-CN"/>
              </w:rPr>
              <w:t>w</w:t>
            </w:r>
            <w:r>
              <w:rPr>
                <w:rFonts w:hint="eastAsia" w:ascii="Times New Roman" w:hAnsi="Times New Roman" w:eastAsia="仿宋" w:cs="Times New Roman"/>
                <w:color w:val="auto"/>
                <w:sz w:val="24"/>
                <w:szCs w:val="21"/>
                <w:lang w:val="en-US" w:eastAsia="zh-CN"/>
              </w:rPr>
              <w:t>的全向点声源在规定方向的声级的偏差程度，dB；</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div</w:t>
            </w:r>
            <w:r>
              <w:rPr>
                <w:rFonts w:hint="default" w:ascii="Times New Roman" w:hAnsi="Times New Roman" w:eastAsia="仿宋" w:cs="Times New Roman"/>
                <w:color w:val="auto"/>
                <w:sz w:val="24"/>
                <w:szCs w:val="21"/>
              </w:rPr>
              <w:t>——声波几何发散引起的倍频带衰减，dB；</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atm</w:t>
            </w:r>
            <w:r>
              <w:rPr>
                <w:rFonts w:hint="default" w:ascii="Times New Roman" w:hAnsi="Times New Roman" w:eastAsia="仿宋" w:cs="Times New Roman"/>
                <w:color w:val="auto"/>
                <w:sz w:val="24"/>
                <w:szCs w:val="21"/>
              </w:rPr>
              <w:t>——空气吸收引起的倍频带衰减，dB；</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gr</w:t>
            </w:r>
            <w:r>
              <w:rPr>
                <w:rFonts w:hint="default" w:ascii="Times New Roman" w:hAnsi="Times New Roman" w:eastAsia="仿宋" w:cs="Times New Roman"/>
                <w:color w:val="auto"/>
                <w:sz w:val="24"/>
                <w:szCs w:val="21"/>
              </w:rPr>
              <w:t>——地面效应引起的倍频带衰减，dB；</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bar</w:t>
            </w:r>
            <w:r>
              <w:rPr>
                <w:rFonts w:hint="default" w:ascii="Times New Roman" w:hAnsi="Times New Roman" w:eastAsia="仿宋" w:cs="Times New Roman"/>
                <w:color w:val="auto"/>
                <w:sz w:val="24"/>
                <w:szCs w:val="21"/>
              </w:rPr>
              <w:t>——屏障引起的倍频带衰减，dB；</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szCs w:val="21"/>
              </w:rPr>
              <w:t>A</w:t>
            </w:r>
            <w:r>
              <w:rPr>
                <w:rFonts w:hint="default" w:ascii="Times New Roman" w:hAnsi="Times New Roman" w:eastAsia="仿宋" w:cs="Times New Roman"/>
                <w:color w:val="auto"/>
                <w:sz w:val="24"/>
                <w:szCs w:val="21"/>
                <w:vertAlign w:val="subscript"/>
              </w:rPr>
              <w:t>misc</w:t>
            </w:r>
            <w:r>
              <w:rPr>
                <w:rFonts w:hint="default" w:ascii="Times New Roman" w:hAnsi="Times New Roman" w:eastAsia="仿宋" w:cs="Times New Roman"/>
                <w:color w:val="auto"/>
                <w:sz w:val="24"/>
                <w:szCs w:val="21"/>
              </w:rPr>
              <w:t>——其它多方面效应引起的倍频带衰减，dB。</w:t>
            </w:r>
          </w:p>
          <w:p>
            <w:pPr>
              <w:adjustRightInd w:val="0"/>
              <w:snapToGrid w:val="0"/>
              <w:spacing w:line="360" w:lineRule="auto"/>
              <w:ind w:firstLine="480" w:firstLineChars="200"/>
              <w:textAlignment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根据工程特点，噪声预测计算时，对噪声衰减进行简化只考虑几何发散衰减（A</w:t>
            </w:r>
            <w:r>
              <w:rPr>
                <w:rFonts w:hint="default" w:ascii="Times New Roman" w:hAnsi="Times New Roman" w:eastAsia="仿宋" w:cs="Times New Roman"/>
                <w:color w:val="auto"/>
                <w:sz w:val="24"/>
                <w:vertAlign w:val="subscript"/>
              </w:rPr>
              <w:t>div</w:t>
            </w:r>
            <w:r>
              <w:rPr>
                <w:rFonts w:hint="default" w:ascii="Times New Roman" w:hAnsi="Times New Roman" w:eastAsia="仿宋" w:cs="Times New Roman"/>
                <w:color w:val="auto"/>
                <w:sz w:val="24"/>
              </w:rPr>
              <w:t>），根据</w:t>
            </w:r>
            <w:r>
              <w:rPr>
                <w:rFonts w:hint="eastAsia" w:eastAsia="仿宋" w:cs="Times New Roman"/>
                <w:color w:val="auto"/>
                <w:sz w:val="24"/>
                <w:lang w:eastAsia="zh-CN"/>
              </w:rPr>
              <w:t>《</w:t>
            </w:r>
            <w:r>
              <w:rPr>
                <w:rFonts w:hint="default" w:ascii="Times New Roman" w:hAnsi="Times New Roman" w:eastAsia="仿宋" w:cs="Times New Roman"/>
                <w:color w:val="auto"/>
                <w:sz w:val="24"/>
                <w:szCs w:val="21"/>
              </w:rPr>
              <w:t>环境影响评价技术导则  声环境》（</w:t>
            </w:r>
            <w:r>
              <w:rPr>
                <w:rFonts w:hint="eastAsia" w:ascii="Times New Roman" w:hAnsi="Times New Roman" w:eastAsia="仿宋" w:cs="Times New Roman"/>
                <w:color w:val="auto"/>
                <w:sz w:val="24"/>
                <w:szCs w:val="21"/>
                <w:lang w:eastAsia="zh-CN"/>
              </w:rPr>
              <w:t>HJ2.4-2021</w:t>
            </w:r>
            <w:r>
              <w:rPr>
                <w:rFonts w:hint="default" w:ascii="Times New Roman" w:hAnsi="Times New Roman" w:eastAsia="仿宋" w:cs="Times New Roman"/>
                <w:color w:val="auto"/>
                <w:sz w:val="24"/>
                <w:szCs w:val="21"/>
              </w:rPr>
              <w:t>）中“</w:t>
            </w:r>
            <w:r>
              <w:rPr>
                <w:rFonts w:hint="eastAsia" w:ascii="Times New Roman" w:hAnsi="Times New Roman" w:eastAsia="仿宋" w:cs="Times New Roman"/>
                <w:color w:val="auto"/>
                <w:sz w:val="24"/>
                <w:szCs w:val="21"/>
                <w:lang w:val="en-US" w:eastAsia="zh-CN"/>
              </w:rPr>
              <w:t>A.3.1</w:t>
            </w:r>
            <w:r>
              <w:rPr>
                <w:rFonts w:hint="default" w:ascii="Times New Roman" w:hAnsi="Times New Roman" w:eastAsia="仿宋" w:cs="Times New Roman"/>
                <w:color w:val="auto"/>
                <w:sz w:val="24"/>
                <w:szCs w:val="21"/>
              </w:rPr>
              <w:t xml:space="preserve"> 几何发散衰减（A</w:t>
            </w:r>
            <w:r>
              <w:rPr>
                <w:rFonts w:hint="default" w:ascii="Times New Roman" w:hAnsi="Times New Roman" w:eastAsia="仿宋" w:cs="Times New Roman"/>
                <w:color w:val="auto"/>
                <w:sz w:val="24"/>
                <w:szCs w:val="21"/>
                <w:vertAlign w:val="subscript"/>
              </w:rPr>
              <w:t>div</w:t>
            </w:r>
            <w:r>
              <w:rPr>
                <w:rFonts w:hint="default" w:ascii="Times New Roman" w:hAnsi="Times New Roman" w:eastAsia="仿宋" w:cs="Times New Roman"/>
                <w:color w:val="auto"/>
                <w:sz w:val="24"/>
                <w:szCs w:val="21"/>
              </w:rPr>
              <w:t>）”</w:t>
            </w:r>
            <w:r>
              <w:rPr>
                <w:rFonts w:hint="default" w:ascii="Times New Roman" w:hAnsi="Times New Roman" w:eastAsia="仿宋" w:cs="Times New Roman"/>
                <w:color w:val="auto"/>
                <w:sz w:val="24"/>
              </w:rPr>
              <w:t>，噪声预测公式简化为：</w:t>
            </w:r>
          </w:p>
          <w:p>
            <w:pPr>
              <w:tabs>
                <w:tab w:val="center" w:pos="4200"/>
                <w:tab w:val="right" w:leader="middleDot" w:pos="8400"/>
              </w:tabs>
              <w:adjustRightInd w:val="0"/>
              <w:snapToGrid w:val="0"/>
              <w:spacing w:line="360" w:lineRule="auto"/>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L</w:t>
            </w:r>
            <w:r>
              <w:rPr>
                <w:rFonts w:hint="default" w:ascii="Times New Roman" w:hAnsi="Times New Roman" w:eastAsia="仿宋" w:cs="Times New Roman"/>
                <w:color w:val="auto"/>
                <w:sz w:val="24"/>
                <w:vertAlign w:val="subscript"/>
              </w:rPr>
              <w:t>P</w:t>
            </w:r>
            <w:r>
              <w:rPr>
                <w:rFonts w:hint="default" w:ascii="Times New Roman" w:hAnsi="Times New Roman" w:eastAsia="仿宋" w:cs="Times New Roman"/>
                <w:color w:val="auto"/>
                <w:sz w:val="24"/>
              </w:rPr>
              <w:t>（r）=L</w:t>
            </w:r>
            <w:r>
              <w:rPr>
                <w:rFonts w:hint="default" w:ascii="Times New Roman" w:hAnsi="Times New Roman" w:eastAsia="仿宋" w:cs="Times New Roman"/>
                <w:color w:val="auto"/>
                <w:sz w:val="24"/>
                <w:vertAlign w:val="subscript"/>
              </w:rPr>
              <w:t>P</w:t>
            </w:r>
            <w:r>
              <w:rPr>
                <w:rFonts w:hint="default" w:ascii="Times New Roman" w:hAnsi="Times New Roman" w:eastAsia="仿宋" w:cs="Times New Roman"/>
                <w:color w:val="auto"/>
                <w:sz w:val="24"/>
              </w:rPr>
              <w:t>（r</w:t>
            </w:r>
            <w:r>
              <w:rPr>
                <w:rFonts w:hint="default" w:ascii="Times New Roman" w:hAnsi="Times New Roman" w:eastAsia="仿宋" w:cs="Times New Roman"/>
                <w:color w:val="auto"/>
                <w:sz w:val="24"/>
                <w:vertAlign w:val="subscript"/>
              </w:rPr>
              <w:t>0</w:t>
            </w:r>
            <w:r>
              <w:rPr>
                <w:rFonts w:hint="default" w:ascii="Times New Roman" w:hAnsi="Times New Roman" w:eastAsia="仿宋" w:cs="Times New Roman"/>
                <w:color w:val="auto"/>
                <w:sz w:val="24"/>
              </w:rPr>
              <w:t>）-20lg（r/r</w:t>
            </w:r>
            <w:r>
              <w:rPr>
                <w:rFonts w:hint="default" w:ascii="Times New Roman" w:hAnsi="Times New Roman" w:eastAsia="仿宋" w:cs="Times New Roman"/>
                <w:color w:val="auto"/>
                <w:sz w:val="24"/>
                <w:vertAlign w:val="subscript"/>
              </w:rPr>
              <w:t>0</w:t>
            </w:r>
            <w:r>
              <w:rPr>
                <w:rFonts w:hint="default" w:ascii="Times New Roman" w:hAnsi="Times New Roman" w:eastAsia="仿宋" w:cs="Times New Roman"/>
                <w:color w:val="auto"/>
                <w:sz w:val="24"/>
              </w:rPr>
              <w:t>）</w:t>
            </w:r>
          </w:p>
          <w:p>
            <w:pPr>
              <w:adjustRightInd w:val="0"/>
              <w:snapToGrid w:val="0"/>
              <w:spacing w:line="360" w:lineRule="auto"/>
              <w:ind w:firstLine="480" w:firstLineChars="200"/>
              <w:textAlignment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式中：L</w:t>
            </w:r>
            <w:r>
              <w:rPr>
                <w:rFonts w:hint="default" w:ascii="Times New Roman" w:hAnsi="Times New Roman" w:eastAsia="仿宋" w:cs="Times New Roman"/>
                <w:color w:val="auto"/>
                <w:sz w:val="24"/>
                <w:vertAlign w:val="subscript"/>
              </w:rPr>
              <w:t>P</w:t>
            </w:r>
            <w:r>
              <w:rPr>
                <w:rFonts w:hint="default" w:ascii="Times New Roman" w:hAnsi="Times New Roman" w:eastAsia="仿宋" w:cs="Times New Roman"/>
                <w:color w:val="auto"/>
                <w:sz w:val="24"/>
              </w:rPr>
              <w:t>（r）—距离声源r处的倍频带声压级，dB；</w:t>
            </w:r>
          </w:p>
          <w:p>
            <w:pPr>
              <w:adjustRightInd w:val="0"/>
              <w:snapToGrid w:val="0"/>
              <w:spacing w:line="360" w:lineRule="auto"/>
              <w:ind w:firstLine="480" w:firstLineChars="200"/>
              <w:textAlignment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L</w:t>
            </w:r>
            <w:r>
              <w:rPr>
                <w:rFonts w:hint="default" w:ascii="Times New Roman" w:hAnsi="Times New Roman" w:eastAsia="仿宋" w:cs="Times New Roman"/>
                <w:color w:val="auto"/>
                <w:sz w:val="24"/>
                <w:vertAlign w:val="subscript"/>
              </w:rPr>
              <w:t>P</w:t>
            </w:r>
            <w:r>
              <w:rPr>
                <w:rFonts w:hint="default" w:ascii="Times New Roman" w:hAnsi="Times New Roman" w:eastAsia="仿宋" w:cs="Times New Roman"/>
                <w:color w:val="auto"/>
                <w:sz w:val="24"/>
              </w:rPr>
              <w:t>（r</w:t>
            </w:r>
            <w:r>
              <w:rPr>
                <w:rFonts w:hint="default" w:ascii="Times New Roman" w:hAnsi="Times New Roman" w:eastAsia="仿宋" w:cs="Times New Roman"/>
                <w:color w:val="auto"/>
                <w:sz w:val="24"/>
                <w:vertAlign w:val="subscript"/>
              </w:rPr>
              <w:t>0</w:t>
            </w:r>
            <w:r>
              <w:rPr>
                <w:rFonts w:hint="default" w:ascii="Times New Roman" w:hAnsi="Times New Roman" w:eastAsia="仿宋" w:cs="Times New Roman"/>
                <w:color w:val="auto"/>
                <w:sz w:val="24"/>
              </w:rPr>
              <w:t>）—参考位置r</w:t>
            </w:r>
            <w:r>
              <w:rPr>
                <w:rFonts w:hint="default" w:ascii="Times New Roman" w:hAnsi="Times New Roman" w:eastAsia="仿宋" w:cs="Times New Roman"/>
                <w:color w:val="auto"/>
                <w:sz w:val="24"/>
                <w:vertAlign w:val="subscript"/>
              </w:rPr>
              <w:t>0</w:t>
            </w:r>
            <w:r>
              <w:rPr>
                <w:rFonts w:hint="default" w:ascii="Times New Roman" w:hAnsi="Times New Roman" w:eastAsia="仿宋" w:cs="Times New Roman"/>
                <w:color w:val="auto"/>
                <w:sz w:val="24"/>
              </w:rPr>
              <w:t>处的倍频带声压级，dB</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r—预测点距离声源的距离，m。</w:t>
            </w:r>
          </w:p>
          <w:p>
            <w:pPr>
              <w:adjustRightInd w:val="0"/>
              <w:snapToGrid w:val="0"/>
              <w:spacing w:line="360" w:lineRule="auto"/>
              <w:ind w:firstLine="360" w:firstLineChars="15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（3）预测分析及结果</w:t>
            </w:r>
          </w:p>
          <w:p>
            <w:pPr>
              <w:adjustRightInd w:val="0"/>
              <w:snapToGrid w:val="0"/>
              <w:spacing w:line="360" w:lineRule="auto"/>
              <w:ind w:firstLine="560"/>
              <w:textAlignment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1）厂界声环境影响预测与分析</w:t>
            </w:r>
          </w:p>
          <w:p>
            <w:pPr>
              <w:adjustRightInd w:val="0"/>
              <w:snapToGrid w:val="0"/>
              <w:spacing w:line="360" w:lineRule="auto"/>
              <w:ind w:firstLine="560"/>
              <w:textAlignment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经模式预测计算，变电站厂界噪声预测值见下表。</w:t>
            </w:r>
          </w:p>
          <w:p>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Cs w:val="21"/>
              </w:rPr>
              <w:t>表4-1</w:t>
            </w:r>
            <w:r>
              <w:rPr>
                <w:rFonts w:hint="eastAsia" w:eastAsia="仿宋" w:cs="Times New Roman"/>
                <w:b/>
                <w:bCs/>
                <w:color w:val="auto"/>
                <w:szCs w:val="21"/>
                <w:lang w:val="en-US" w:eastAsia="zh-CN"/>
              </w:rPr>
              <w:t>5</w:t>
            </w:r>
            <w:r>
              <w:rPr>
                <w:rFonts w:hint="default" w:ascii="Times New Roman" w:hAnsi="Times New Roman" w:eastAsia="仿宋" w:cs="Times New Roman"/>
                <w:b/>
                <w:bCs/>
                <w:color w:val="auto"/>
                <w:szCs w:val="21"/>
              </w:rPr>
              <w:t xml:space="preserve"> </w:t>
            </w:r>
            <w:r>
              <w:rPr>
                <w:rFonts w:hint="eastAsia" w:eastAsia="仿宋" w:cs="Times New Roman"/>
                <w:b/>
                <w:bCs/>
                <w:color w:val="auto"/>
                <w:szCs w:val="21"/>
                <w:lang w:val="en-US" w:eastAsia="zh-CN"/>
              </w:rPr>
              <w:t>升压站</w:t>
            </w:r>
            <w:r>
              <w:rPr>
                <w:rFonts w:hint="default" w:ascii="Times New Roman" w:hAnsi="Times New Roman" w:eastAsia="仿宋" w:cs="Times New Roman"/>
                <w:b/>
                <w:bCs/>
                <w:color w:val="auto"/>
                <w:szCs w:val="21"/>
              </w:rPr>
              <w:t>厂界噪声预测值一览表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513"/>
              <w:gridCol w:w="1626"/>
              <w:gridCol w:w="2061"/>
              <w:gridCol w:w="2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vMerge w:val="restart"/>
                  <w:vAlign w:val="center"/>
                </w:tcPr>
                <w:p>
                  <w:pPr>
                    <w:pStyle w:val="54"/>
                    <w:spacing w:line="240" w:lineRule="auto"/>
                    <w:ind w:firstLine="0" w:firstLineChars="0"/>
                    <w:jc w:val="center"/>
                    <w:rPr>
                      <w:rFonts w:hint="default" w:ascii="Times New Roman" w:hAnsi="Times New Roman" w:eastAsia="仿宋" w:cs="Times New Roman"/>
                      <w:bCs/>
                      <w:color w:val="auto"/>
                      <w:sz w:val="21"/>
                      <w:szCs w:val="21"/>
                      <w:lang w:val="en-US"/>
                    </w:rPr>
                  </w:pPr>
                  <w:r>
                    <w:rPr>
                      <w:rFonts w:hint="default" w:ascii="Times New Roman" w:hAnsi="Times New Roman" w:eastAsia="仿宋" w:cs="Times New Roman"/>
                      <w:b/>
                      <w:bCs/>
                      <w:color w:val="auto"/>
                      <w:sz w:val="21"/>
                      <w:szCs w:val="21"/>
                      <w:lang w:val="en-US"/>
                    </w:rPr>
                    <w:t>名称</w:t>
                  </w:r>
                </w:p>
              </w:tc>
              <w:tc>
                <w:tcPr>
                  <w:tcW w:w="862"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21"/>
                      <w:lang w:val="en-US"/>
                    </w:rPr>
                  </w:pPr>
                  <w:r>
                    <w:rPr>
                      <w:rFonts w:hint="eastAsia" w:eastAsia="仿宋" w:cs="Times New Roman"/>
                      <w:b/>
                      <w:color w:val="auto"/>
                      <w:sz w:val="21"/>
                      <w:szCs w:val="21"/>
                      <w:lang w:val="en-US" w:eastAsia="zh-CN"/>
                    </w:rPr>
                    <w:t>主变与厂界距离</w:t>
                  </w:r>
                  <w:r>
                    <w:rPr>
                      <w:rFonts w:hint="default" w:ascii="Times New Roman" w:hAnsi="Times New Roman" w:eastAsia="仿宋" w:cs="Times New Roman"/>
                      <w:b/>
                      <w:color w:val="auto"/>
                      <w:sz w:val="21"/>
                      <w:szCs w:val="21"/>
                      <w:lang w:val="en-US"/>
                    </w:rPr>
                    <w:t>（m）</w:t>
                  </w:r>
                </w:p>
              </w:tc>
              <w:tc>
                <w:tcPr>
                  <w:tcW w:w="926" w:type="pct"/>
                  <w:vMerge w:val="restart"/>
                  <w:vAlign w:val="center"/>
                </w:tcPr>
                <w:p>
                  <w:pPr>
                    <w:pStyle w:val="54"/>
                    <w:spacing w:line="240" w:lineRule="auto"/>
                    <w:ind w:firstLine="0" w:firstLineChars="0"/>
                    <w:jc w:val="center"/>
                    <w:rPr>
                      <w:rFonts w:hint="default" w:ascii="Times New Roman" w:hAnsi="Times New Roman" w:eastAsia="仿宋" w:cs="Times New Roman"/>
                      <w:bCs/>
                      <w:color w:val="auto"/>
                      <w:sz w:val="21"/>
                      <w:szCs w:val="21"/>
                      <w:lang w:val="en-US"/>
                    </w:rPr>
                  </w:pPr>
                  <w:r>
                    <w:rPr>
                      <w:rFonts w:hint="default" w:ascii="Times New Roman" w:hAnsi="Times New Roman" w:eastAsia="仿宋" w:cs="Times New Roman"/>
                      <w:b/>
                      <w:bCs/>
                      <w:color w:val="auto"/>
                      <w:sz w:val="21"/>
                      <w:szCs w:val="21"/>
                      <w:lang w:val="en-US"/>
                    </w:rPr>
                    <w:t>贡献值(dB(A)</w:t>
                  </w:r>
                  <w:r>
                    <w:rPr>
                      <w:rFonts w:hint="default" w:ascii="Times New Roman" w:hAnsi="Times New Roman" w:eastAsia="仿宋" w:cs="Times New Roman"/>
                      <w:b/>
                      <w:color w:val="auto"/>
                      <w:sz w:val="21"/>
                      <w:szCs w:val="21"/>
                      <w:lang w:val="en-US"/>
                    </w:rPr>
                    <w:t>）</w:t>
                  </w:r>
                </w:p>
              </w:tc>
              <w:tc>
                <w:tcPr>
                  <w:tcW w:w="1174" w:type="pct"/>
                  <w:vAlign w:val="center"/>
                </w:tcPr>
                <w:p>
                  <w:pPr>
                    <w:pStyle w:val="54"/>
                    <w:spacing w:line="240" w:lineRule="auto"/>
                    <w:ind w:firstLine="0" w:firstLineChars="0"/>
                    <w:jc w:val="center"/>
                    <w:rPr>
                      <w:rFonts w:hint="default" w:ascii="Times New Roman" w:hAnsi="Times New Roman" w:eastAsia="仿宋" w:cs="Times New Roman"/>
                      <w:bCs/>
                      <w:color w:val="auto"/>
                      <w:sz w:val="21"/>
                      <w:szCs w:val="21"/>
                      <w:lang w:val="en-US"/>
                    </w:rPr>
                  </w:pPr>
                  <w:r>
                    <w:rPr>
                      <w:rFonts w:hint="default" w:ascii="Times New Roman" w:hAnsi="Times New Roman" w:eastAsia="仿宋" w:cs="Times New Roman"/>
                      <w:b/>
                      <w:bCs/>
                      <w:color w:val="auto"/>
                      <w:sz w:val="21"/>
                      <w:szCs w:val="21"/>
                      <w:lang w:val="en-US"/>
                    </w:rPr>
                    <w:t>标准值</w:t>
                  </w:r>
                </w:p>
              </w:tc>
              <w:tc>
                <w:tcPr>
                  <w:tcW w:w="1173" w:type="pct"/>
                  <w:vMerge w:val="restart"/>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21"/>
                      <w:lang w:val="en-US"/>
                    </w:rPr>
                  </w:pPr>
                  <w:r>
                    <w:rPr>
                      <w:rFonts w:hint="default" w:ascii="Times New Roman" w:hAnsi="Times New Roman" w:eastAsia="仿宋" w:cs="Times New Roman"/>
                      <w:b/>
                      <w:color w:val="auto"/>
                      <w:sz w:val="21"/>
                      <w:szCs w:val="21"/>
                      <w:lang w:val="en-US"/>
                    </w:rPr>
                    <w:t>达标情况分析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vMerge w:val="continue"/>
                  <w:vAlign w:val="center"/>
                </w:tcPr>
                <w:p>
                  <w:pPr>
                    <w:pStyle w:val="54"/>
                    <w:spacing w:line="240" w:lineRule="auto"/>
                    <w:ind w:firstLine="0" w:firstLineChars="0"/>
                    <w:jc w:val="center"/>
                    <w:rPr>
                      <w:rFonts w:hint="default" w:ascii="Times New Roman" w:hAnsi="Times New Roman" w:eastAsia="仿宋" w:cs="Times New Roman"/>
                      <w:bCs/>
                      <w:color w:val="auto"/>
                      <w:sz w:val="21"/>
                      <w:szCs w:val="21"/>
                      <w:lang w:val="en-US"/>
                    </w:rPr>
                  </w:pPr>
                </w:p>
              </w:tc>
              <w:tc>
                <w:tcPr>
                  <w:tcW w:w="862" w:type="pct"/>
                  <w:vMerge w:val="continue"/>
                  <w:vAlign w:val="center"/>
                </w:tcPr>
                <w:p>
                  <w:pPr>
                    <w:pStyle w:val="54"/>
                    <w:spacing w:line="240" w:lineRule="auto"/>
                    <w:ind w:firstLine="0" w:firstLineChars="0"/>
                    <w:jc w:val="center"/>
                    <w:rPr>
                      <w:rFonts w:hint="default" w:ascii="Times New Roman" w:hAnsi="Times New Roman" w:eastAsia="仿宋" w:cs="Times New Roman"/>
                      <w:bCs/>
                      <w:color w:val="auto"/>
                      <w:sz w:val="21"/>
                      <w:szCs w:val="21"/>
                      <w:lang w:val="en-US"/>
                    </w:rPr>
                  </w:pPr>
                </w:p>
              </w:tc>
              <w:tc>
                <w:tcPr>
                  <w:tcW w:w="926" w:type="pct"/>
                  <w:vMerge w:val="continue"/>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21"/>
                      <w:lang w:val="en-US"/>
                    </w:rPr>
                  </w:pPr>
                </w:p>
              </w:tc>
              <w:tc>
                <w:tcPr>
                  <w:tcW w:w="1174" w:type="pct"/>
                  <w:vAlign w:val="center"/>
                </w:tcPr>
                <w:p>
                  <w:pPr>
                    <w:pStyle w:val="54"/>
                    <w:spacing w:line="240" w:lineRule="auto"/>
                    <w:ind w:firstLine="0" w:firstLineChars="0"/>
                    <w:jc w:val="center"/>
                    <w:rPr>
                      <w:rFonts w:hint="default" w:ascii="Times New Roman" w:hAnsi="Times New Roman" w:eastAsia="仿宋" w:cs="Times New Roman"/>
                      <w:bCs/>
                      <w:color w:val="auto"/>
                      <w:sz w:val="21"/>
                      <w:szCs w:val="21"/>
                      <w:lang w:val="en-US"/>
                    </w:rPr>
                  </w:pPr>
                  <w:r>
                    <w:rPr>
                      <w:rFonts w:hint="default" w:ascii="Times New Roman" w:hAnsi="Times New Roman" w:eastAsia="仿宋" w:cs="Times New Roman"/>
                      <w:b/>
                      <w:bCs/>
                      <w:color w:val="auto"/>
                      <w:sz w:val="21"/>
                      <w:szCs w:val="21"/>
                      <w:lang w:val="en-US"/>
                    </w:rPr>
                    <w:t>昼/夜间值(dB(A)）</w:t>
                  </w:r>
                </w:p>
              </w:tc>
              <w:tc>
                <w:tcPr>
                  <w:tcW w:w="1173" w:type="pct"/>
                  <w:vMerge w:val="continue"/>
                  <w:vAlign w:val="center"/>
                </w:tcPr>
                <w:p>
                  <w:pPr>
                    <w:pStyle w:val="54"/>
                    <w:spacing w:line="240" w:lineRule="auto"/>
                    <w:ind w:firstLine="0" w:firstLineChars="0"/>
                    <w:jc w:val="center"/>
                    <w:rPr>
                      <w:rFonts w:hint="default" w:ascii="Times New Roman" w:hAnsi="Times New Roman" w:eastAsia="仿宋" w:cs="Times New Roman"/>
                      <w:b/>
                      <w:bCs/>
                      <w:color w:val="auto"/>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bookmarkStart w:id="18" w:name="_Hlk25332226"/>
                  <w:r>
                    <w:rPr>
                      <w:rFonts w:hint="default" w:ascii="Times New Roman" w:hAnsi="Times New Roman" w:eastAsia="仿宋" w:cs="Times New Roman"/>
                      <w:color w:val="auto"/>
                      <w:sz w:val="21"/>
                      <w:szCs w:val="16"/>
                      <w:lang w:val="en-US"/>
                    </w:rPr>
                    <w:t>东侧厂界</w:t>
                  </w:r>
                </w:p>
              </w:tc>
              <w:tc>
                <w:tcPr>
                  <w:tcW w:w="862"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37.5</w:t>
                  </w:r>
                </w:p>
              </w:tc>
              <w:tc>
                <w:tcPr>
                  <w:tcW w:w="926" w:type="pct"/>
                  <w:vAlign w:val="center"/>
                </w:tcPr>
                <w:p>
                  <w:pPr>
                    <w:pStyle w:val="54"/>
                    <w:spacing w:line="240" w:lineRule="auto"/>
                    <w:ind w:firstLine="0" w:firstLineChars="0"/>
                    <w:jc w:val="center"/>
                    <w:rPr>
                      <w:rFonts w:hint="eastAsia" w:ascii="Times New Roman" w:hAnsi="Times New Roman" w:eastAsia="仿宋" w:cs="Times New Roman"/>
                      <w:color w:val="auto"/>
                      <w:sz w:val="21"/>
                      <w:szCs w:val="16"/>
                      <w:lang w:val="en-US" w:eastAsia="zh-CN"/>
                    </w:rPr>
                  </w:pPr>
                  <w:r>
                    <w:rPr>
                      <w:rFonts w:hint="default" w:ascii="Times New Roman" w:hAnsi="Times New Roman" w:eastAsia="仿宋" w:cs="Times New Roman"/>
                      <w:color w:val="auto"/>
                      <w:sz w:val="21"/>
                      <w:szCs w:val="16"/>
                      <w:lang w:val="en-US"/>
                    </w:rPr>
                    <w:t>38.</w:t>
                  </w:r>
                  <w:r>
                    <w:rPr>
                      <w:rFonts w:hint="eastAsia" w:eastAsia="仿宋" w:cs="Times New Roman"/>
                      <w:color w:val="auto"/>
                      <w:sz w:val="21"/>
                      <w:szCs w:val="16"/>
                      <w:lang w:val="en-US" w:eastAsia="zh-CN"/>
                    </w:rPr>
                    <w:t>5</w:t>
                  </w:r>
                  <w:r>
                    <w:rPr>
                      <w:rFonts w:hint="default" w:ascii="Times New Roman" w:hAnsi="Times New Roman" w:eastAsia="仿宋" w:cs="Times New Roman"/>
                      <w:color w:val="auto"/>
                      <w:sz w:val="21"/>
                      <w:szCs w:val="16"/>
                      <w:lang w:val="en-US"/>
                    </w:rPr>
                    <w:t>/38.</w:t>
                  </w:r>
                  <w:r>
                    <w:rPr>
                      <w:rFonts w:hint="eastAsia" w:eastAsia="仿宋" w:cs="Times New Roman"/>
                      <w:color w:val="auto"/>
                      <w:sz w:val="21"/>
                      <w:szCs w:val="16"/>
                      <w:lang w:val="en-US" w:eastAsia="zh-CN"/>
                    </w:rPr>
                    <w:t>5</w:t>
                  </w:r>
                </w:p>
              </w:tc>
              <w:tc>
                <w:tcPr>
                  <w:tcW w:w="117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55/45</w:t>
                  </w:r>
                </w:p>
              </w:tc>
              <w:tc>
                <w:tcPr>
                  <w:tcW w:w="117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南侧厂界</w:t>
                  </w:r>
                </w:p>
              </w:tc>
              <w:tc>
                <w:tcPr>
                  <w:tcW w:w="862"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43.5</w:t>
                  </w:r>
                </w:p>
              </w:tc>
              <w:tc>
                <w:tcPr>
                  <w:tcW w:w="926"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default" w:ascii="Times New Roman" w:hAnsi="Times New Roman" w:eastAsia="仿宋" w:cs="Times New Roman"/>
                      <w:color w:val="auto"/>
                      <w:sz w:val="21"/>
                      <w:szCs w:val="16"/>
                      <w:lang w:val="en-US"/>
                    </w:rPr>
                    <w:t>3</w:t>
                  </w:r>
                  <w:r>
                    <w:rPr>
                      <w:rFonts w:hint="eastAsia" w:eastAsia="仿宋" w:cs="Times New Roman"/>
                      <w:color w:val="auto"/>
                      <w:sz w:val="21"/>
                      <w:szCs w:val="16"/>
                      <w:lang w:val="en-US" w:eastAsia="zh-CN"/>
                    </w:rPr>
                    <w:t>7.2</w:t>
                  </w:r>
                  <w:r>
                    <w:rPr>
                      <w:rFonts w:hint="default" w:ascii="Times New Roman" w:hAnsi="Times New Roman" w:eastAsia="仿宋" w:cs="Times New Roman"/>
                      <w:color w:val="auto"/>
                      <w:sz w:val="21"/>
                      <w:szCs w:val="16"/>
                      <w:lang w:val="en-US"/>
                    </w:rPr>
                    <w:t>/3</w:t>
                  </w:r>
                  <w:r>
                    <w:rPr>
                      <w:rFonts w:hint="eastAsia" w:eastAsia="仿宋" w:cs="Times New Roman"/>
                      <w:color w:val="auto"/>
                      <w:sz w:val="21"/>
                      <w:szCs w:val="16"/>
                      <w:lang w:val="en-US" w:eastAsia="zh-CN"/>
                    </w:rPr>
                    <w:t>7.2</w:t>
                  </w:r>
                </w:p>
              </w:tc>
              <w:tc>
                <w:tcPr>
                  <w:tcW w:w="117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55/45</w:t>
                  </w:r>
                </w:p>
              </w:tc>
              <w:tc>
                <w:tcPr>
                  <w:tcW w:w="117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西侧厂界</w:t>
                  </w:r>
                </w:p>
              </w:tc>
              <w:tc>
                <w:tcPr>
                  <w:tcW w:w="862"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36</w:t>
                  </w:r>
                </w:p>
              </w:tc>
              <w:tc>
                <w:tcPr>
                  <w:tcW w:w="926"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ascii="Times New Roman" w:hAnsi="Times New Roman" w:eastAsia="仿宋" w:cs="Times New Roman"/>
                      <w:color w:val="auto"/>
                      <w:sz w:val="21"/>
                      <w:szCs w:val="16"/>
                      <w:lang w:val="en-US" w:eastAsia="zh-CN"/>
                    </w:rPr>
                    <w:t>38.</w:t>
                  </w:r>
                  <w:r>
                    <w:rPr>
                      <w:rFonts w:hint="eastAsia" w:eastAsia="仿宋" w:cs="Times New Roman"/>
                      <w:color w:val="auto"/>
                      <w:sz w:val="21"/>
                      <w:szCs w:val="16"/>
                      <w:lang w:val="en-US" w:eastAsia="zh-CN"/>
                    </w:rPr>
                    <w:t>9</w:t>
                  </w:r>
                  <w:r>
                    <w:rPr>
                      <w:rFonts w:hint="default" w:ascii="Times New Roman" w:hAnsi="Times New Roman" w:eastAsia="仿宋" w:cs="Times New Roman"/>
                      <w:color w:val="auto"/>
                      <w:sz w:val="21"/>
                      <w:szCs w:val="16"/>
                      <w:lang w:val="en-US"/>
                    </w:rPr>
                    <w:t>/3</w:t>
                  </w:r>
                  <w:r>
                    <w:rPr>
                      <w:rFonts w:hint="eastAsia" w:ascii="Times New Roman" w:hAnsi="Times New Roman" w:eastAsia="仿宋" w:cs="Times New Roman"/>
                      <w:color w:val="auto"/>
                      <w:sz w:val="21"/>
                      <w:szCs w:val="16"/>
                      <w:lang w:val="en-US" w:eastAsia="zh-CN"/>
                    </w:rPr>
                    <w:t>8.</w:t>
                  </w:r>
                  <w:r>
                    <w:rPr>
                      <w:rFonts w:hint="eastAsia" w:eastAsia="仿宋" w:cs="Times New Roman"/>
                      <w:color w:val="auto"/>
                      <w:sz w:val="21"/>
                      <w:szCs w:val="16"/>
                      <w:lang w:val="en-US" w:eastAsia="zh-CN"/>
                    </w:rPr>
                    <w:t>9</w:t>
                  </w:r>
                </w:p>
              </w:tc>
              <w:tc>
                <w:tcPr>
                  <w:tcW w:w="117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55/45</w:t>
                  </w:r>
                </w:p>
              </w:tc>
              <w:tc>
                <w:tcPr>
                  <w:tcW w:w="117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北侧厂界</w:t>
                  </w:r>
                </w:p>
              </w:tc>
              <w:tc>
                <w:tcPr>
                  <w:tcW w:w="862"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eastAsia="仿宋" w:cs="Times New Roman"/>
                      <w:color w:val="auto"/>
                      <w:sz w:val="21"/>
                      <w:szCs w:val="16"/>
                      <w:lang w:val="en-US" w:eastAsia="zh-CN"/>
                    </w:rPr>
                    <w:t>37</w:t>
                  </w:r>
                </w:p>
              </w:tc>
              <w:tc>
                <w:tcPr>
                  <w:tcW w:w="926"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eastAsia="zh-CN"/>
                    </w:rPr>
                  </w:pPr>
                  <w:r>
                    <w:rPr>
                      <w:rFonts w:hint="eastAsia" w:ascii="Times New Roman" w:hAnsi="Times New Roman" w:eastAsia="仿宋" w:cs="Times New Roman"/>
                      <w:color w:val="auto"/>
                      <w:sz w:val="21"/>
                      <w:szCs w:val="16"/>
                      <w:lang w:val="en-US" w:eastAsia="zh-CN"/>
                    </w:rPr>
                    <w:t>3</w:t>
                  </w:r>
                  <w:r>
                    <w:rPr>
                      <w:rFonts w:hint="eastAsia" w:eastAsia="仿宋" w:cs="Times New Roman"/>
                      <w:color w:val="auto"/>
                      <w:sz w:val="21"/>
                      <w:szCs w:val="16"/>
                      <w:lang w:val="en-US" w:eastAsia="zh-CN"/>
                    </w:rPr>
                    <w:t>8.6</w:t>
                  </w:r>
                  <w:r>
                    <w:rPr>
                      <w:rFonts w:hint="default" w:ascii="Times New Roman" w:hAnsi="Times New Roman" w:eastAsia="仿宋" w:cs="Times New Roman"/>
                      <w:color w:val="auto"/>
                      <w:sz w:val="21"/>
                      <w:szCs w:val="16"/>
                      <w:lang w:val="en-US"/>
                    </w:rPr>
                    <w:t>/</w:t>
                  </w:r>
                  <w:r>
                    <w:rPr>
                      <w:rFonts w:hint="eastAsia" w:ascii="Times New Roman" w:hAnsi="Times New Roman" w:eastAsia="仿宋" w:cs="Times New Roman"/>
                      <w:color w:val="auto"/>
                      <w:sz w:val="21"/>
                      <w:szCs w:val="16"/>
                      <w:lang w:val="en-US" w:eastAsia="zh-CN"/>
                    </w:rPr>
                    <w:t>3</w:t>
                  </w:r>
                  <w:r>
                    <w:rPr>
                      <w:rFonts w:hint="eastAsia" w:eastAsia="仿宋" w:cs="Times New Roman"/>
                      <w:color w:val="auto"/>
                      <w:sz w:val="21"/>
                      <w:szCs w:val="16"/>
                      <w:lang w:val="en-US" w:eastAsia="zh-CN"/>
                    </w:rPr>
                    <w:t>8.6</w:t>
                  </w:r>
                </w:p>
              </w:tc>
              <w:tc>
                <w:tcPr>
                  <w:tcW w:w="1174"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55/45</w:t>
                  </w:r>
                </w:p>
              </w:tc>
              <w:tc>
                <w:tcPr>
                  <w:tcW w:w="1173" w:type="pct"/>
                  <w:vAlign w:val="center"/>
                </w:tcPr>
                <w:p>
                  <w:pPr>
                    <w:pStyle w:val="54"/>
                    <w:spacing w:line="240" w:lineRule="auto"/>
                    <w:ind w:firstLine="0" w:firstLineChars="0"/>
                    <w:jc w:val="center"/>
                    <w:rPr>
                      <w:rFonts w:hint="default" w:ascii="Times New Roman" w:hAnsi="Times New Roman" w:eastAsia="仿宋" w:cs="Times New Roman"/>
                      <w:color w:val="auto"/>
                      <w:sz w:val="21"/>
                      <w:szCs w:val="16"/>
                      <w:lang w:val="en-US"/>
                    </w:rPr>
                  </w:pPr>
                  <w:r>
                    <w:rPr>
                      <w:rFonts w:hint="default" w:ascii="Times New Roman" w:hAnsi="Times New Roman" w:eastAsia="仿宋" w:cs="Times New Roman"/>
                      <w:color w:val="auto"/>
                      <w:sz w:val="21"/>
                      <w:szCs w:val="16"/>
                      <w:lang w:val="en-US"/>
                    </w:rPr>
                    <w:t>达标</w:t>
                  </w:r>
                </w:p>
              </w:tc>
            </w:tr>
            <w:bookmarkEnd w:id="18"/>
          </w:tbl>
          <w:p>
            <w:pPr>
              <w:adjustRightInd w:val="0"/>
              <w:snapToGrid w:val="0"/>
              <w:spacing w:before="120" w:beforeLines="50" w:line="360" w:lineRule="auto"/>
              <w:ind w:firstLine="480" w:firstLineChars="200"/>
              <w:textAlignment w:val="center"/>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rPr>
              <w:t>经模式预测可知：升压站建成投运后，各侧厂界噪声</w:t>
            </w:r>
            <w:r>
              <w:rPr>
                <w:rFonts w:hint="eastAsia" w:eastAsia="仿宋" w:cs="Times New Roman"/>
                <w:color w:val="auto"/>
                <w:sz w:val="24"/>
                <w:lang w:val="en-US" w:eastAsia="zh-CN"/>
              </w:rPr>
              <w:t>贡献值</w:t>
            </w:r>
            <w:r>
              <w:rPr>
                <w:rFonts w:hint="default" w:ascii="Times New Roman" w:hAnsi="Times New Roman" w:eastAsia="仿宋" w:cs="Times New Roman"/>
                <w:color w:val="auto"/>
                <w:sz w:val="24"/>
              </w:rPr>
              <w:t>满足《工业企业厂界环境噪声排放标准》（GB 12348-2008）1类标准要求。</w:t>
            </w:r>
            <w:r>
              <w:rPr>
                <w:rFonts w:hint="eastAsia" w:eastAsia="仿宋" w:cs="Times New Roman"/>
                <w:color w:val="auto"/>
                <w:sz w:val="24"/>
                <w:lang w:val="en-US" w:eastAsia="zh-CN"/>
              </w:rPr>
              <w:t>项目升压站周边50m范围内无声环境敏感目标，项目升压站投运后对周边居民点的影响较小。</w:t>
            </w:r>
          </w:p>
          <w:p>
            <w:pPr>
              <w:adjustRightInd w:val="0"/>
              <w:snapToGrid w:val="0"/>
              <w:spacing w:line="360" w:lineRule="auto"/>
              <w:ind w:firstLine="560"/>
              <w:textAlignment w:val="center"/>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综上所述，单机容量为</w:t>
            </w:r>
            <w:r>
              <w:rPr>
                <w:rFonts w:hint="eastAsia" w:eastAsia="仿宋" w:cs="Times New Roman"/>
                <w:b w:val="0"/>
                <w:bCs/>
                <w:color w:val="auto"/>
                <w:sz w:val="24"/>
                <w:lang w:val="en-US" w:eastAsia="zh-CN"/>
              </w:rPr>
              <w:t>5MW</w:t>
            </w:r>
            <w:r>
              <w:rPr>
                <w:rFonts w:hint="default" w:ascii="Times New Roman" w:hAnsi="Times New Roman" w:eastAsia="仿宋" w:cs="Times New Roman"/>
                <w:b w:val="0"/>
                <w:bCs/>
                <w:color w:val="auto"/>
                <w:sz w:val="24"/>
              </w:rPr>
              <w:t>的风机在至风机地面投影外</w:t>
            </w:r>
            <w:r>
              <w:rPr>
                <w:rFonts w:hint="eastAsia" w:eastAsia="仿宋" w:cs="Times New Roman"/>
                <w:b w:val="0"/>
                <w:bCs/>
                <w:color w:val="auto"/>
                <w:sz w:val="24"/>
                <w:lang w:eastAsia="zh-CN"/>
              </w:rPr>
              <w:t>317m</w:t>
            </w:r>
            <w:r>
              <w:rPr>
                <w:rFonts w:hint="default" w:ascii="Times New Roman" w:hAnsi="Times New Roman" w:eastAsia="仿宋" w:cs="Times New Roman"/>
                <w:b w:val="0"/>
                <w:bCs/>
                <w:color w:val="auto"/>
                <w:sz w:val="24"/>
              </w:rPr>
              <w:t>处，风机噪声衰减至满足《工业企业厂界环境噪声排放标准》（GB12348-2008）中1类标准要求。通过叠加区域声环境质量现状值后，运行期风机周边声环境敏感点的噪声达标范围为</w:t>
            </w:r>
            <w:r>
              <w:rPr>
                <w:rFonts w:hint="eastAsia" w:eastAsia="仿宋" w:cs="Times New Roman"/>
                <w:b w:val="0"/>
                <w:bCs/>
                <w:color w:val="auto"/>
                <w:sz w:val="24"/>
                <w:lang w:eastAsia="zh-CN"/>
              </w:rPr>
              <w:t>510m，噪声达标距离范围内不宜新建居民区、学校等</w:t>
            </w:r>
            <w:r>
              <w:rPr>
                <w:rFonts w:hint="eastAsia" w:eastAsia="仿宋" w:cs="Times New Roman"/>
                <w:b w:val="0"/>
                <w:bCs/>
                <w:color w:val="auto"/>
                <w:sz w:val="24"/>
                <w:lang w:val="en-US" w:eastAsia="zh-CN"/>
              </w:rPr>
              <w:t>声环境敏感目标</w:t>
            </w:r>
            <w:r>
              <w:rPr>
                <w:rFonts w:hint="eastAsia" w:eastAsia="仿宋" w:cs="Times New Roman"/>
                <w:b w:val="0"/>
                <w:bCs/>
                <w:color w:val="auto"/>
                <w:sz w:val="24"/>
                <w:lang w:eastAsia="zh-CN"/>
              </w:rPr>
              <w:t>。</w:t>
            </w:r>
            <w:r>
              <w:rPr>
                <w:rFonts w:hint="default" w:ascii="Times New Roman" w:hAnsi="Times New Roman" w:eastAsia="仿宋" w:cs="Times New Roman"/>
                <w:b w:val="0"/>
                <w:bCs/>
                <w:color w:val="auto"/>
                <w:sz w:val="24"/>
              </w:rPr>
              <w:t>本项目风机</w:t>
            </w:r>
            <w:r>
              <w:rPr>
                <w:rFonts w:hint="eastAsia" w:eastAsia="仿宋" w:cs="Times New Roman"/>
                <w:b w:val="0"/>
                <w:bCs/>
                <w:color w:val="auto"/>
                <w:sz w:val="24"/>
                <w:lang w:eastAsia="zh-CN"/>
              </w:rPr>
              <w:t>510m</w:t>
            </w:r>
            <w:r>
              <w:rPr>
                <w:rFonts w:hint="default" w:ascii="Times New Roman" w:hAnsi="Times New Roman" w:eastAsia="仿宋" w:cs="Times New Roman"/>
                <w:b w:val="0"/>
                <w:bCs/>
                <w:color w:val="auto"/>
                <w:sz w:val="24"/>
              </w:rPr>
              <w:t>范围内无声环境保护目标，升压站厂界</w:t>
            </w:r>
            <w:r>
              <w:rPr>
                <w:rFonts w:hint="eastAsia" w:eastAsia="仿宋" w:cs="Times New Roman"/>
                <w:b w:val="0"/>
                <w:bCs/>
                <w:color w:val="auto"/>
                <w:sz w:val="24"/>
                <w:lang w:val="en-US" w:eastAsia="zh-CN"/>
              </w:rPr>
              <w:t>50</w:t>
            </w:r>
            <w:r>
              <w:rPr>
                <w:rFonts w:hint="default" w:ascii="Times New Roman" w:hAnsi="Times New Roman" w:eastAsia="仿宋" w:cs="Times New Roman"/>
                <w:b w:val="0"/>
                <w:bCs/>
                <w:color w:val="auto"/>
                <w:sz w:val="24"/>
              </w:rPr>
              <w:t>m范围内无声环境敏感目标，项目运行产生的声环境影响能满足国家标准限值要求。</w:t>
            </w:r>
          </w:p>
          <w:p>
            <w:pPr>
              <w:spacing w:line="360" w:lineRule="auto"/>
              <w:ind w:right="-42" w:rightChars="-20"/>
              <w:rPr>
                <w:rFonts w:hint="default" w:ascii="Times New Roman" w:hAnsi="Times New Roman" w:eastAsia="仿宋" w:cs="Times New Roman"/>
                <w:b/>
                <w:color w:val="auto"/>
                <w:sz w:val="24"/>
              </w:rPr>
            </w:pPr>
            <w:r>
              <w:rPr>
                <w:rFonts w:hint="eastAsia" w:eastAsia="仿宋" w:cs="Times New Roman"/>
                <w:b/>
                <w:color w:val="auto"/>
                <w:sz w:val="24"/>
                <w:lang w:val="en-US" w:eastAsia="zh-CN"/>
              </w:rPr>
              <w:t>5</w:t>
            </w:r>
            <w:r>
              <w:rPr>
                <w:rFonts w:hint="default" w:ascii="Times New Roman" w:hAnsi="Times New Roman" w:eastAsia="仿宋" w:cs="Times New Roman"/>
                <w:b/>
                <w:color w:val="auto"/>
                <w:sz w:val="24"/>
              </w:rPr>
              <w:t>、固体废弃物影响情况分析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运行期间固体废弃物为升压站内工作人员产生的生活垃圾，按日均驻场人员</w:t>
            </w:r>
            <w:r>
              <w:rPr>
                <w:rFonts w:hint="eastAsia" w:eastAsia="仿宋" w:cs="Times New Roman"/>
                <w:color w:val="auto"/>
                <w:sz w:val="24"/>
                <w:lang w:val="en-US" w:eastAsia="zh-CN"/>
              </w:rPr>
              <w:t>6</w:t>
            </w:r>
            <w:r>
              <w:rPr>
                <w:rFonts w:hint="default" w:ascii="Times New Roman" w:hAnsi="Times New Roman" w:eastAsia="仿宋" w:cs="Times New Roman"/>
                <w:color w:val="auto"/>
                <w:sz w:val="24"/>
              </w:rPr>
              <w:t>人计，人均日产垃圾1kg，项目运行期间生活垃圾产生量为</w:t>
            </w:r>
            <w:r>
              <w:rPr>
                <w:rFonts w:hint="eastAsia" w:eastAsia="仿宋" w:cs="Times New Roman"/>
                <w:color w:val="auto"/>
                <w:sz w:val="24"/>
                <w:lang w:val="en-US" w:eastAsia="zh-CN"/>
              </w:rPr>
              <w:t>2.19</w:t>
            </w:r>
            <w:r>
              <w:rPr>
                <w:rFonts w:hint="default" w:ascii="Times New Roman" w:hAnsi="Times New Roman" w:eastAsia="仿宋" w:cs="Times New Roman"/>
                <w:color w:val="auto"/>
                <w:sz w:val="24"/>
              </w:rPr>
              <w:t>t/a，分类收集后定期清运。</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风力发电场运行期，风力发电机故障检修时，产生极少量废润滑油。根据</w:t>
            </w:r>
            <w:r>
              <w:rPr>
                <w:rFonts w:hint="eastAsia" w:eastAsia="仿宋" w:cs="Times New Roman"/>
                <w:color w:val="auto"/>
                <w:sz w:val="24"/>
                <w:lang w:val="en-US" w:eastAsia="zh-CN"/>
              </w:rPr>
              <w:t>湖北</w:t>
            </w:r>
            <w:r>
              <w:rPr>
                <w:rFonts w:hint="default" w:ascii="Times New Roman" w:hAnsi="Times New Roman" w:eastAsia="仿宋" w:cs="Times New Roman"/>
                <w:color w:val="auto"/>
                <w:sz w:val="24"/>
              </w:rPr>
              <w:t>省内九宫山风力发电场相关资料，风力发电机组运行稳定性很好，项目每年可能有1台风机因故障需要检修，检修时产生废润滑油量约10kg。</w:t>
            </w:r>
          </w:p>
          <w:p>
            <w:pPr>
              <w:spacing w:line="360" w:lineRule="auto"/>
              <w:ind w:firstLine="480" w:firstLineChars="200"/>
              <w:rPr>
                <w:rFonts w:hint="default" w:ascii="Times New Roman" w:hAnsi="Times New Roman" w:eastAsia="仿宋" w:cs="Times New Roman"/>
                <w:color w:val="auto"/>
                <w:sz w:val="24"/>
              </w:rPr>
            </w:pPr>
            <w:r>
              <w:rPr>
                <w:rFonts w:hint="eastAsia" w:eastAsia="仿宋" w:cs="Times New Roman"/>
                <w:color w:val="auto"/>
                <w:sz w:val="24"/>
                <w:lang w:eastAsia="zh-CN"/>
              </w:rPr>
              <w:t>110kV升压站</w:t>
            </w:r>
            <w:r>
              <w:rPr>
                <w:rFonts w:hint="default" w:ascii="Times New Roman" w:hAnsi="Times New Roman" w:eastAsia="仿宋" w:cs="Times New Roman"/>
                <w:color w:val="auto"/>
                <w:sz w:val="24"/>
              </w:rPr>
              <w:t>内主变检修或事故状态下产生的少量含油废物为危险废物，行业来源为非特定行业，危险废物类别为HW08，废物代码为900-220-08，危险特性为毒性、易燃性，应交由有相应资质的单位进行处理。</w:t>
            </w:r>
          </w:p>
          <w:p>
            <w:pPr>
              <w:wordWrap w:val="0"/>
              <w:spacing w:line="360" w:lineRule="auto"/>
              <w:ind w:firstLine="480" w:firstLineChars="200"/>
              <w:rPr>
                <w:rFonts w:hint="default" w:ascii="Times New Roman" w:hAnsi="Times New Roman" w:eastAsia="仿宋" w:cs="Times New Roman"/>
                <w:color w:val="auto"/>
                <w:sz w:val="24"/>
              </w:rPr>
            </w:pPr>
            <w:r>
              <w:rPr>
                <w:rFonts w:hint="eastAsia" w:eastAsia="仿宋" w:cs="Times New Roman"/>
                <w:color w:val="auto"/>
                <w:sz w:val="24"/>
                <w:lang w:eastAsia="zh-CN"/>
              </w:rPr>
              <w:t>110kV升压站</w:t>
            </w:r>
            <w:r>
              <w:rPr>
                <w:rFonts w:hint="default" w:ascii="Times New Roman" w:hAnsi="Times New Roman" w:eastAsia="仿宋" w:cs="Times New Roman"/>
                <w:color w:val="auto"/>
                <w:sz w:val="24"/>
              </w:rPr>
              <w:t>直流系统使用的铅酸蓄电池在运行一段时间后会失效，废铅酸蓄电池为危险废物，行业来源为非特定行业，危险废物类别为HW</w:t>
            </w:r>
            <w:r>
              <w:rPr>
                <w:rFonts w:hint="eastAsia" w:eastAsia="仿宋" w:cs="Times New Roman"/>
                <w:color w:val="auto"/>
                <w:sz w:val="24"/>
                <w:lang w:val="en-US" w:eastAsia="zh-CN"/>
              </w:rPr>
              <w:t>31</w:t>
            </w:r>
            <w:r>
              <w:rPr>
                <w:rFonts w:hint="default" w:ascii="Times New Roman" w:hAnsi="Times New Roman" w:eastAsia="仿宋" w:cs="Times New Roman"/>
                <w:color w:val="auto"/>
                <w:sz w:val="24"/>
              </w:rPr>
              <w:t>，废物代码为900-052-31，危险特性为毒性，应交由有相应资质的单位进行处理。</w:t>
            </w:r>
          </w:p>
          <w:p>
            <w:pPr>
              <w:pStyle w:val="7"/>
              <w:spacing w:line="360" w:lineRule="auto"/>
              <w:jc w:val="center"/>
              <w:rPr>
                <w:rFonts w:hint="default" w:ascii="Times New Roman" w:hAnsi="Times New Roman" w:eastAsia="仿宋" w:cs="Times New Roman"/>
                <w:b/>
                <w:color w:val="auto"/>
                <w:szCs w:val="24"/>
                <w:lang w:val="en-US"/>
              </w:rPr>
            </w:pPr>
            <w:r>
              <w:rPr>
                <w:rFonts w:hint="default" w:ascii="Times New Roman" w:hAnsi="Times New Roman" w:eastAsia="仿宋" w:cs="Times New Roman"/>
                <w:b/>
                <w:color w:val="auto"/>
                <w:sz w:val="21"/>
                <w:szCs w:val="21"/>
                <w:lang w:val="en-US"/>
              </w:rPr>
              <w:t>表4-1</w:t>
            </w:r>
            <w:r>
              <w:rPr>
                <w:rFonts w:hint="eastAsia" w:eastAsia="仿宋" w:cs="Times New Roman"/>
                <w:b/>
                <w:color w:val="auto"/>
                <w:sz w:val="21"/>
                <w:szCs w:val="21"/>
                <w:lang w:val="en-US" w:eastAsia="zh-CN"/>
              </w:rPr>
              <w:t>6</w:t>
            </w:r>
            <w:r>
              <w:rPr>
                <w:rFonts w:hint="default" w:ascii="Times New Roman" w:hAnsi="Times New Roman" w:eastAsia="仿宋" w:cs="Times New Roman"/>
                <w:b/>
                <w:color w:val="auto"/>
                <w:sz w:val="21"/>
                <w:szCs w:val="21"/>
                <w:lang w:val="en-US"/>
              </w:rPr>
              <w:t xml:space="preserve">  危险废物汇总表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7"/>
              <w:gridCol w:w="579"/>
              <w:gridCol w:w="852"/>
              <w:gridCol w:w="1329"/>
              <w:gridCol w:w="693"/>
              <w:gridCol w:w="665"/>
              <w:gridCol w:w="532"/>
              <w:gridCol w:w="630"/>
              <w:gridCol w:w="630"/>
              <w:gridCol w:w="705"/>
              <w:gridCol w:w="800"/>
              <w:gridCol w:w="8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70"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序号</w:t>
                  </w:r>
                </w:p>
              </w:tc>
              <w:tc>
                <w:tcPr>
                  <w:tcW w:w="588"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危险废物名称</w:t>
                  </w:r>
                </w:p>
              </w:tc>
              <w:tc>
                <w:tcPr>
                  <w:tcW w:w="856"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危险废物</w:t>
                  </w:r>
                </w:p>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类别</w:t>
                  </w:r>
                </w:p>
              </w:tc>
              <w:tc>
                <w:tcPr>
                  <w:tcW w:w="1336"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危险废物代码</w:t>
                  </w:r>
                </w:p>
              </w:tc>
              <w:tc>
                <w:tcPr>
                  <w:tcW w:w="696"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产生量</w:t>
                  </w:r>
                </w:p>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（吨/年）</w:t>
                  </w:r>
                </w:p>
              </w:tc>
              <w:tc>
                <w:tcPr>
                  <w:tcW w:w="677"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产生工序及装置</w:t>
                  </w:r>
                </w:p>
              </w:tc>
              <w:tc>
                <w:tcPr>
                  <w:tcW w:w="537"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形态</w:t>
                  </w:r>
                </w:p>
              </w:tc>
              <w:tc>
                <w:tcPr>
                  <w:tcW w:w="640"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主要</w:t>
                  </w:r>
                </w:p>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成分</w:t>
                  </w:r>
                </w:p>
              </w:tc>
              <w:tc>
                <w:tcPr>
                  <w:tcW w:w="640"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有害</w:t>
                  </w:r>
                </w:p>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成分</w:t>
                  </w:r>
                </w:p>
              </w:tc>
              <w:tc>
                <w:tcPr>
                  <w:tcW w:w="708"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产废周期</w:t>
                  </w:r>
                </w:p>
              </w:tc>
              <w:tc>
                <w:tcPr>
                  <w:tcW w:w="808"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危险特性</w:t>
                  </w:r>
                </w:p>
              </w:tc>
              <w:tc>
                <w:tcPr>
                  <w:tcW w:w="909"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470"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1</w:t>
                  </w:r>
                </w:p>
              </w:tc>
              <w:tc>
                <w:tcPr>
                  <w:tcW w:w="588"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废润滑油</w:t>
                  </w:r>
                </w:p>
              </w:tc>
              <w:tc>
                <w:tcPr>
                  <w:tcW w:w="856" w:type="dxa"/>
                  <w:vMerge w:val="restart"/>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HW08废矿物油与含矿物油废物</w:t>
                  </w:r>
                </w:p>
              </w:tc>
              <w:tc>
                <w:tcPr>
                  <w:tcW w:w="1336"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900-217-08</w:t>
                  </w:r>
                </w:p>
              </w:tc>
              <w:tc>
                <w:tcPr>
                  <w:tcW w:w="696"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约0.01</w:t>
                  </w:r>
                </w:p>
              </w:tc>
              <w:tc>
                <w:tcPr>
                  <w:tcW w:w="6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风机检修</w:t>
                  </w:r>
                </w:p>
              </w:tc>
              <w:tc>
                <w:tcPr>
                  <w:tcW w:w="53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液体</w:t>
                  </w:r>
                </w:p>
              </w:tc>
              <w:tc>
                <w:tcPr>
                  <w:tcW w:w="640"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碳氢化合物</w:t>
                  </w:r>
                </w:p>
              </w:tc>
              <w:tc>
                <w:tcPr>
                  <w:tcW w:w="640"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碳氢化合物</w:t>
                  </w:r>
                </w:p>
              </w:tc>
              <w:tc>
                <w:tcPr>
                  <w:tcW w:w="708"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1年</w:t>
                  </w:r>
                </w:p>
              </w:tc>
              <w:tc>
                <w:tcPr>
                  <w:tcW w:w="808" w:type="dxa"/>
                  <w:vAlign w:val="center"/>
                </w:tcPr>
                <w:p>
                  <w:pP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毒性、</w:t>
                  </w:r>
                </w:p>
                <w:p>
                  <w:pP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易燃性</w:t>
                  </w:r>
                </w:p>
              </w:tc>
              <w:tc>
                <w:tcPr>
                  <w:tcW w:w="909" w:type="dxa"/>
                  <w:vMerge w:val="restart"/>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分别密封包装后暂存于危险废物暂存间，交有资质、有处理能力的单位进行处置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70"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2</w:t>
                  </w:r>
                </w:p>
              </w:tc>
              <w:tc>
                <w:tcPr>
                  <w:tcW w:w="588"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废变压器油</w:t>
                  </w:r>
                </w:p>
              </w:tc>
              <w:tc>
                <w:tcPr>
                  <w:tcW w:w="856" w:type="dxa"/>
                  <w:vMerge w:val="continue"/>
                  <w:vAlign w:val="center"/>
                </w:tcPr>
                <w:p>
                  <w:pPr>
                    <w:jc w:val="center"/>
                    <w:rPr>
                      <w:rFonts w:hint="default" w:ascii="Times New Roman" w:hAnsi="Times New Roman" w:eastAsia="仿宋" w:cs="Times New Roman"/>
                      <w:color w:val="auto"/>
                      <w:szCs w:val="21"/>
                    </w:rPr>
                  </w:pPr>
                </w:p>
              </w:tc>
              <w:tc>
                <w:tcPr>
                  <w:tcW w:w="1336"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900-220-08</w:t>
                  </w:r>
                </w:p>
              </w:tc>
              <w:tc>
                <w:tcPr>
                  <w:tcW w:w="696"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事故油池油水分离</w:t>
                  </w:r>
                </w:p>
              </w:tc>
              <w:tc>
                <w:tcPr>
                  <w:tcW w:w="53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液体</w:t>
                  </w:r>
                </w:p>
              </w:tc>
              <w:tc>
                <w:tcPr>
                  <w:tcW w:w="640" w:type="dxa"/>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环烷烃</w:t>
                  </w:r>
                </w:p>
              </w:tc>
              <w:tc>
                <w:tcPr>
                  <w:tcW w:w="640" w:type="dxa"/>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环烷烃</w:t>
                  </w:r>
                </w:p>
              </w:tc>
              <w:tc>
                <w:tcPr>
                  <w:tcW w:w="708" w:type="dxa"/>
                  <w:vAlign w:val="center"/>
                </w:tcPr>
                <w:p>
                  <w:pPr>
                    <w:pStyle w:val="67"/>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事故或检修</w:t>
                  </w:r>
                </w:p>
              </w:tc>
              <w:tc>
                <w:tcPr>
                  <w:tcW w:w="808" w:type="dxa"/>
                  <w:vAlign w:val="center"/>
                </w:tcPr>
                <w:p>
                  <w:pPr>
                    <w:pStyle w:val="67"/>
                    <w:jc w:val="left"/>
                    <w:rPr>
                      <w:rFonts w:hint="default" w:ascii="Times New Roman" w:hAnsi="Times New Roman" w:eastAsia="仿宋" w:cs="Times New Roman"/>
                      <w:color w:val="auto"/>
                      <w:lang w:val="en-US"/>
                    </w:rPr>
                  </w:pPr>
                  <w:r>
                    <w:rPr>
                      <w:rFonts w:hint="default" w:ascii="Times New Roman" w:hAnsi="Times New Roman" w:eastAsia="仿宋" w:cs="Times New Roman"/>
                      <w:color w:val="auto"/>
                      <w:lang w:val="en-US"/>
                    </w:rPr>
                    <w:t>毒性、易燃性</w:t>
                  </w:r>
                </w:p>
              </w:tc>
              <w:tc>
                <w:tcPr>
                  <w:tcW w:w="909" w:type="dxa"/>
                  <w:vMerge w:val="continue"/>
                  <w:vAlign w:val="center"/>
                </w:tcPr>
                <w:p>
                  <w:pPr>
                    <w:pStyle w:val="73"/>
                    <w:spacing w:beforeLines="0" w:afterLines="0"/>
                    <w:rPr>
                      <w:rFonts w:hint="default" w:ascii="Times New Roman" w:hAnsi="Times New Roman" w:eastAsia="仿宋" w:cs="Times New Roman"/>
                      <w:b w:val="0"/>
                      <w:color w:val="auto"/>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70"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3</w:t>
                  </w:r>
                </w:p>
              </w:tc>
              <w:tc>
                <w:tcPr>
                  <w:tcW w:w="588" w:type="dxa"/>
                  <w:vAlign w:val="center"/>
                </w:tcPr>
                <w:p>
                  <w:pPr>
                    <w:pStyle w:val="73"/>
                    <w:spacing w:beforeLines="0" w:afterLines="0"/>
                    <w:rPr>
                      <w:rFonts w:hint="default" w:ascii="Times New Roman" w:hAnsi="Times New Roman" w:eastAsia="仿宋" w:cs="Times New Roman"/>
                      <w:b w:val="0"/>
                      <w:color w:val="auto"/>
                      <w:sz w:val="21"/>
                      <w:szCs w:val="21"/>
                      <w:lang w:val="en-US"/>
                    </w:rPr>
                  </w:pPr>
                  <w:r>
                    <w:rPr>
                      <w:rFonts w:hint="default" w:ascii="Times New Roman" w:hAnsi="Times New Roman" w:eastAsia="仿宋" w:cs="Times New Roman"/>
                      <w:b w:val="0"/>
                      <w:color w:val="auto"/>
                      <w:sz w:val="21"/>
                      <w:szCs w:val="21"/>
                      <w:lang w:val="en-US"/>
                    </w:rPr>
                    <w:t>废铅酸蓄电池</w:t>
                  </w:r>
                </w:p>
              </w:tc>
              <w:tc>
                <w:tcPr>
                  <w:tcW w:w="856"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w:t>
                  </w:r>
                  <w:r>
                    <w:rPr>
                      <w:rFonts w:hint="eastAsia" w:eastAsia="仿宋" w:cs="Times New Roman"/>
                      <w:color w:val="auto"/>
                      <w:szCs w:val="21"/>
                      <w:lang w:val="en-US" w:eastAsia="zh-CN"/>
                    </w:rPr>
                    <w:t>31</w:t>
                  </w:r>
                  <w:r>
                    <w:rPr>
                      <w:rFonts w:hint="default" w:ascii="Times New Roman" w:hAnsi="Times New Roman" w:eastAsia="仿宋" w:cs="Times New Roman"/>
                      <w:color w:val="auto"/>
                      <w:szCs w:val="21"/>
                    </w:rPr>
                    <w:t>含铅废物</w:t>
                  </w:r>
                </w:p>
              </w:tc>
              <w:tc>
                <w:tcPr>
                  <w:tcW w:w="1336"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900-052-31</w:t>
                  </w:r>
                </w:p>
              </w:tc>
              <w:tc>
                <w:tcPr>
                  <w:tcW w:w="696"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约0.25</w:t>
                  </w:r>
                </w:p>
              </w:tc>
              <w:tc>
                <w:tcPr>
                  <w:tcW w:w="67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升压站直流系统</w:t>
                  </w:r>
                </w:p>
              </w:tc>
              <w:tc>
                <w:tcPr>
                  <w:tcW w:w="537"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固体</w:t>
                  </w:r>
                </w:p>
              </w:tc>
              <w:tc>
                <w:tcPr>
                  <w:tcW w:w="640"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铅及其氧化物</w:t>
                  </w:r>
                </w:p>
              </w:tc>
              <w:tc>
                <w:tcPr>
                  <w:tcW w:w="640"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铅及其氧化物</w:t>
                  </w:r>
                </w:p>
              </w:tc>
              <w:tc>
                <w:tcPr>
                  <w:tcW w:w="708"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8~12年</w:t>
                  </w:r>
                </w:p>
              </w:tc>
              <w:tc>
                <w:tcPr>
                  <w:tcW w:w="808" w:type="dxa"/>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毒性</w:t>
                  </w:r>
                </w:p>
              </w:tc>
              <w:tc>
                <w:tcPr>
                  <w:tcW w:w="909" w:type="dxa"/>
                  <w:vMerge w:val="continue"/>
                  <w:vAlign w:val="center"/>
                </w:tcPr>
                <w:p>
                  <w:pPr>
                    <w:pStyle w:val="73"/>
                    <w:spacing w:beforeLines="0" w:afterLines="0"/>
                    <w:rPr>
                      <w:rFonts w:hint="default" w:ascii="Times New Roman" w:hAnsi="Times New Roman" w:eastAsia="仿宋" w:cs="Times New Roman"/>
                      <w:b w:val="0"/>
                      <w:color w:val="auto"/>
                      <w:sz w:val="21"/>
                      <w:szCs w:val="21"/>
                      <w:lang w:val="en-US"/>
                    </w:rPr>
                  </w:pPr>
                </w:p>
              </w:tc>
            </w:tr>
          </w:tbl>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综上所述，本工程运行期产生的固体废物在采取本次评价中提出的固体废物污染防治措施的前提下，不会对周边的环境造成影响。</w:t>
            </w:r>
          </w:p>
          <w:p>
            <w:pPr>
              <w:spacing w:line="360" w:lineRule="auto"/>
              <w:ind w:right="-42" w:rightChars="-20"/>
              <w:rPr>
                <w:rFonts w:hint="default" w:ascii="Times New Roman" w:hAnsi="Times New Roman" w:eastAsia="仿宋" w:cs="Times New Roman"/>
                <w:b/>
                <w:color w:val="auto"/>
                <w:sz w:val="24"/>
              </w:rPr>
            </w:pPr>
            <w:r>
              <w:rPr>
                <w:rFonts w:hint="eastAsia" w:eastAsia="仿宋" w:cs="Times New Roman"/>
                <w:b/>
                <w:color w:val="auto"/>
                <w:sz w:val="24"/>
                <w:lang w:val="en-US" w:eastAsia="zh-CN"/>
              </w:rPr>
              <w:t>6</w:t>
            </w:r>
            <w:r>
              <w:rPr>
                <w:rFonts w:hint="default" w:ascii="Times New Roman" w:hAnsi="Times New Roman" w:eastAsia="仿宋" w:cs="Times New Roman"/>
                <w:b/>
                <w:color w:val="auto"/>
                <w:sz w:val="24"/>
              </w:rPr>
              <w:t>、环境风险分析</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（1）环境风险识别</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风电场运行过程中潜在的环境风险主要是升压站内的主变在事故或自然灾害情况下变压器内用于散热的变压器油可能会发生泄漏。</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（2）环境风险分析</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变压器油泄漏若不能够及时处理或处理不当泄漏至外环境，会造成一定环境污染。泄漏量较大的对地表水环境、土壤环境均有一定影响。</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为了防止变压器油泄露至外环境，变压器下设置集油坑并铺设鹅卵石，通过事故排油管与事故油池相连。在事故情况下，泄露的变压器油流经集油坑内铺设的鹅卵石层，由排油管自流进入事故油池，经油水分离后，废变压器油应交由具有相应危险废物处理资质、处理能力的机构处理。</w:t>
            </w:r>
          </w:p>
          <w:p>
            <w:pPr>
              <w:spacing w:line="360" w:lineRule="auto"/>
              <w:jc w:val="center"/>
              <w:rPr>
                <w:color w:val="auto"/>
                <w:position w:val="-67"/>
              </w:rPr>
            </w:pPr>
            <w:r>
              <w:rPr>
                <w:color w:val="auto"/>
                <w:position w:val="-67"/>
              </w:rPr>
              <w:drawing>
                <wp:inline distT="0" distB="0" distL="0" distR="0">
                  <wp:extent cx="1690370" cy="2151380"/>
                  <wp:effectExtent l="0" t="0" r="5080" b="127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35"/>
                          <a:stretch>
                            <a:fillRect/>
                          </a:stretch>
                        </pic:blipFill>
                        <pic:spPr>
                          <a:xfrm>
                            <a:off x="0" y="0"/>
                            <a:ext cx="1690370" cy="2152014"/>
                          </a:xfrm>
                          <a:prstGeom prst="rect">
                            <a:avLst/>
                          </a:prstGeom>
                        </pic:spPr>
                      </pic:pic>
                    </a:graphicData>
                  </a:graphic>
                </wp:inline>
              </w:drawing>
            </w:r>
          </w:p>
          <w:p>
            <w:pPr>
              <w:spacing w:line="360" w:lineRule="auto"/>
              <w:ind w:firstLine="480"/>
              <w:jc w:val="center"/>
              <w:rPr>
                <w:rFonts w:hint="default" w:ascii="Times New Roman" w:hAnsi="Times New Roman" w:eastAsia="仿宋" w:cs="Times New Roman"/>
                <w:b/>
                <w:bCs w:val="0"/>
                <w:color w:val="auto"/>
                <w:sz w:val="24"/>
              </w:rPr>
            </w:pPr>
            <w:r>
              <w:rPr>
                <w:rFonts w:hint="default" w:ascii="Times New Roman" w:hAnsi="Times New Roman" w:eastAsia="仿宋" w:cs="Times New Roman"/>
                <w:b/>
                <w:bCs w:val="0"/>
                <w:color w:val="auto"/>
                <w:sz w:val="24"/>
              </w:rPr>
              <w:t>图4-</w:t>
            </w:r>
            <w:r>
              <w:rPr>
                <w:rFonts w:hint="eastAsia" w:ascii="Times New Roman" w:hAnsi="Times New Roman" w:eastAsia="仿宋" w:cs="Times New Roman"/>
                <w:b/>
                <w:bCs w:val="0"/>
                <w:color w:val="auto"/>
                <w:sz w:val="24"/>
                <w:lang w:val="en-US" w:eastAsia="zh-CN"/>
              </w:rPr>
              <w:t>5</w:t>
            </w:r>
            <w:r>
              <w:rPr>
                <w:rFonts w:hint="default" w:ascii="Times New Roman" w:hAnsi="Times New Roman" w:eastAsia="仿宋" w:cs="Times New Roman"/>
                <w:b/>
                <w:bCs w:val="0"/>
                <w:color w:val="auto"/>
                <w:sz w:val="24"/>
              </w:rPr>
              <w:t>事故油处理流程</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升压站内拟建1台</w:t>
            </w:r>
            <w:r>
              <w:rPr>
                <w:rFonts w:hint="eastAsia" w:eastAsia="仿宋" w:cs="Times New Roman"/>
                <w:b w:val="0"/>
                <w:bCs/>
                <w:color w:val="auto"/>
                <w:sz w:val="24"/>
                <w:lang w:eastAsia="zh-CN"/>
              </w:rPr>
              <w:t>50MVA</w:t>
            </w:r>
            <w:r>
              <w:rPr>
                <w:rFonts w:hint="default" w:ascii="Times New Roman" w:hAnsi="Times New Roman" w:eastAsia="仿宋" w:cs="Times New Roman"/>
                <w:b w:val="0"/>
                <w:bCs/>
                <w:color w:val="auto"/>
                <w:sz w:val="24"/>
              </w:rPr>
              <w:t>的主变，变压器下铺鹅卵石，并设置了事故油坑，四周设有排油槽并与事故油池相连，事故油池内部设置虹吸管，具备油水分离功能。目前尚未开展主变招标，建设单位应在主变招标完成后与设备厂家确认主变油重、折算体积，确保站内事故油池100%满足主变的排油需求，必要时修改事故油池设计方案。</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事故油池及油坑均采取防渗设计，防止事故油池收集的废变压器油渗漏而污染土壤及地下水。建设单位应将变压器漏油纳入电力设施安全生产应急预案，加强日常巡查，定期检查事故油池状态，如有浮油，需及时清理收集。根据国内外长期输变电工程的实际运行经验，</w:t>
            </w:r>
            <w:r>
              <w:rPr>
                <w:rFonts w:hint="eastAsia" w:eastAsia="仿宋" w:cs="Times New Roman"/>
                <w:b w:val="0"/>
                <w:bCs/>
                <w:color w:val="auto"/>
                <w:sz w:val="24"/>
                <w:lang w:eastAsia="zh-CN"/>
              </w:rPr>
              <w:t>110kV</w:t>
            </w:r>
            <w:r>
              <w:rPr>
                <w:rFonts w:hint="default" w:ascii="Times New Roman" w:hAnsi="Times New Roman" w:eastAsia="仿宋" w:cs="Times New Roman"/>
                <w:b w:val="0"/>
                <w:bCs/>
                <w:color w:val="auto"/>
                <w:sz w:val="24"/>
              </w:rPr>
              <w:t>升压站主变漏油的实际发生概率极小。</w:t>
            </w:r>
          </w:p>
          <w:p>
            <w:pPr>
              <w:spacing w:line="360" w:lineRule="auto"/>
              <w:ind w:firstLine="480"/>
              <w:rPr>
                <w:rFonts w:hint="default" w:ascii="Times New Roman" w:hAnsi="Times New Roman" w:eastAsia="仿宋" w:cs="Times New Roman"/>
                <w:b w:val="0"/>
                <w:bCs/>
                <w:color w:val="auto"/>
                <w:sz w:val="24"/>
              </w:rPr>
            </w:pPr>
            <w:r>
              <w:rPr>
                <w:rFonts w:hint="default" w:ascii="Times New Roman" w:hAnsi="Times New Roman" w:eastAsia="仿宋" w:cs="Times New Roman"/>
                <w:b w:val="0"/>
                <w:bCs/>
                <w:color w:val="auto"/>
                <w:sz w:val="24"/>
              </w:rPr>
              <w:t>综上所述，即使发生变压器油泄漏，通过事故油池收集，不会溢流到环境之中污染土壤、地下水和地表水，产生重大环境污染事故。</w:t>
            </w:r>
          </w:p>
          <w:p>
            <w:pPr>
              <w:spacing w:line="360" w:lineRule="auto"/>
              <w:ind w:right="-42" w:rightChars="-20"/>
              <w:rPr>
                <w:rFonts w:hint="default" w:ascii="Times New Roman" w:hAnsi="Times New Roman" w:eastAsia="仿宋" w:cs="Times New Roman"/>
                <w:b/>
                <w:color w:val="auto"/>
                <w:sz w:val="24"/>
              </w:rPr>
            </w:pPr>
            <w:r>
              <w:rPr>
                <w:rFonts w:hint="eastAsia" w:eastAsia="仿宋" w:cs="Times New Roman"/>
                <w:b/>
                <w:color w:val="auto"/>
                <w:sz w:val="24"/>
                <w:lang w:val="en-US" w:eastAsia="zh-CN"/>
              </w:rPr>
              <w:t>7</w:t>
            </w:r>
            <w:r>
              <w:rPr>
                <w:rFonts w:hint="default" w:ascii="Times New Roman" w:hAnsi="Times New Roman" w:eastAsia="仿宋" w:cs="Times New Roman"/>
                <w:b/>
                <w:color w:val="auto"/>
                <w:sz w:val="24"/>
              </w:rPr>
              <w:t>、光污染环境影响分析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 w:val="0"/>
                <w:bCs/>
                <w:color w:val="auto"/>
                <w:sz w:val="24"/>
              </w:rPr>
              <w:t>白天阳光照在旋转的风机叶片上，投射下来的阴影不停晃动，光影会使人产生心烦、晕等症状，正常生活会受到一定影响。本次环评根据工程区的经纬度及风机的高度计算推荐机型的光影影响范围。由于日照辐射强度对人的视觉敏感度有很大影响，日照强度越大，人的视觉越敏锐，风机产生的光影影响也就越强。在日出、日落时刻，即使光影较长，但对人的视觉影响不会很大。一年中，冬至时分为太阳高度角最小，冬至日最大风机机组影子最长，本项目选取冬至日10:00~14:00时段来分析其光</w:t>
            </w:r>
            <w:r>
              <w:rPr>
                <w:rFonts w:hint="default" w:ascii="Times New Roman" w:hAnsi="Times New Roman" w:eastAsia="仿宋" w:cs="Times New Roman"/>
                <w:color w:val="auto"/>
                <w:sz w:val="24"/>
              </w:rPr>
              <w:t>影影响防护距离。风机光影影响距离由以下公式确定：</w:t>
            </w:r>
          </w:p>
          <w:p>
            <w:pPr>
              <w:spacing w:line="360" w:lineRule="auto"/>
              <w:ind w:firstLine="480" w:firstLineChars="20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h</w:t>
            </w:r>
            <w:r>
              <w:rPr>
                <w:rFonts w:hint="default" w:ascii="Times New Roman" w:hAnsi="Times New Roman" w:eastAsia="仿宋" w:cs="Times New Roman"/>
                <w:color w:val="auto"/>
                <w:sz w:val="24"/>
                <w:vertAlign w:val="subscript"/>
              </w:rPr>
              <w:t>0</w:t>
            </w:r>
            <w:r>
              <w:rPr>
                <w:rFonts w:hint="default" w:ascii="Times New Roman" w:hAnsi="Times New Roman" w:eastAsia="仿宋" w:cs="Times New Roman"/>
                <w:color w:val="auto"/>
                <w:sz w:val="24"/>
              </w:rPr>
              <w:t>=arcsin[sinφsinσ+cosφcosσcosα]</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式中：h0—太阳高度角；φ—各风机所处位置的地理纬度；α=（15t+λ-300），t为进行观测时的北京时间，λ为当地经度；σ—太阳倾角。可按下式计算：</w:t>
            </w:r>
          </w:p>
          <w:p>
            <w:pPr>
              <w:spacing w:line="360" w:lineRule="auto"/>
              <w:jc w:val="center"/>
              <w:rPr>
                <w:rFonts w:hint="default" w:ascii="Times New Roman" w:hAnsi="Times New Roman" w:cs="Times New Roman"/>
                <w:b w:val="0"/>
                <w:bCs w:val="0"/>
                <w:color w:val="auto"/>
                <w:spacing w:val="-3"/>
              </w:rPr>
            </w:pPr>
            <w:r>
              <w:rPr>
                <w:rFonts w:hint="default" w:ascii="Times New Roman" w:hAnsi="Times New Roman" w:cs="Times New Roman"/>
                <w:b w:val="0"/>
                <w:bCs w:val="0"/>
                <w:color w:val="auto"/>
                <w:spacing w:val="-3"/>
              </w:rPr>
              <w:t>σ=arcsin[0.006918-0.39912cosθ0+0.070257sinθ</w:t>
            </w:r>
            <w:r>
              <w:rPr>
                <w:rFonts w:hint="default" w:ascii="Times New Roman" w:hAnsi="Times New Roman" w:cs="Times New Roman"/>
                <w:b w:val="0"/>
                <w:bCs w:val="0"/>
                <w:color w:val="auto"/>
                <w:spacing w:val="-3"/>
                <w:vertAlign w:val="subscript"/>
              </w:rPr>
              <w:t>0</w:t>
            </w:r>
            <w:r>
              <w:rPr>
                <w:rFonts w:hint="default" w:ascii="Times New Roman" w:hAnsi="Times New Roman" w:cs="Times New Roman"/>
                <w:b w:val="0"/>
                <w:bCs w:val="0"/>
                <w:color w:val="auto"/>
                <w:spacing w:val="-3"/>
              </w:rPr>
              <w:t>-</w:t>
            </w:r>
          </w:p>
          <w:p>
            <w:pPr>
              <w:spacing w:line="360" w:lineRule="auto"/>
              <w:jc w:val="center"/>
              <w:rPr>
                <w:rFonts w:hint="default" w:ascii="Times New Roman" w:hAnsi="Times New Roman" w:cs="Times New Roman"/>
                <w:b w:val="0"/>
                <w:bCs w:val="0"/>
                <w:color w:val="auto"/>
                <w:spacing w:val="-3"/>
              </w:rPr>
            </w:pPr>
            <w:r>
              <w:rPr>
                <w:rFonts w:hint="default" w:ascii="Times New Roman" w:hAnsi="Times New Roman" w:cs="Times New Roman"/>
                <w:b w:val="0"/>
                <w:bCs w:val="0"/>
                <w:color w:val="auto"/>
                <w:spacing w:val="-3"/>
              </w:rPr>
              <w:t>0.006758cos2θ</w:t>
            </w:r>
            <w:r>
              <w:rPr>
                <w:rFonts w:hint="default" w:ascii="Times New Roman" w:hAnsi="Times New Roman" w:cs="Times New Roman"/>
                <w:b w:val="0"/>
                <w:bCs w:val="0"/>
                <w:color w:val="auto"/>
                <w:spacing w:val="-3"/>
                <w:vertAlign w:val="subscript"/>
              </w:rPr>
              <w:t>0</w:t>
            </w:r>
            <w:r>
              <w:rPr>
                <w:rFonts w:hint="default" w:ascii="Times New Roman" w:hAnsi="Times New Roman" w:cs="Times New Roman"/>
                <w:b w:val="0"/>
                <w:bCs w:val="0"/>
                <w:color w:val="auto"/>
                <w:spacing w:val="-3"/>
              </w:rPr>
              <w:t>+0.00907sin2θ</w:t>
            </w:r>
            <w:r>
              <w:rPr>
                <w:rFonts w:hint="default" w:ascii="Times New Roman" w:hAnsi="Times New Roman" w:cs="Times New Roman"/>
                <w:b w:val="0"/>
                <w:bCs w:val="0"/>
                <w:color w:val="auto"/>
                <w:spacing w:val="-3"/>
                <w:vertAlign w:val="subscript"/>
              </w:rPr>
              <w:t>0</w:t>
            </w:r>
            <w:r>
              <w:rPr>
                <w:rFonts w:hint="default" w:ascii="Times New Roman" w:hAnsi="Times New Roman" w:cs="Times New Roman"/>
                <w:b w:val="0"/>
                <w:bCs w:val="0"/>
                <w:color w:val="auto"/>
                <w:spacing w:val="-3"/>
              </w:rPr>
              <w:t>-</w:t>
            </w:r>
          </w:p>
          <w:p>
            <w:pPr>
              <w:spacing w:line="360" w:lineRule="auto"/>
              <w:jc w:val="center"/>
              <w:rPr>
                <w:rFonts w:hint="default"/>
                <w:b w:val="0"/>
                <w:bCs w:val="0"/>
                <w:color w:val="auto"/>
                <w:spacing w:val="-3"/>
              </w:rPr>
            </w:pPr>
            <w:r>
              <w:rPr>
                <w:rFonts w:hint="default" w:ascii="Times New Roman" w:hAnsi="Times New Roman" w:cs="Times New Roman"/>
                <w:b w:val="0"/>
                <w:bCs w:val="0"/>
                <w:color w:val="auto"/>
                <w:spacing w:val="-3"/>
              </w:rPr>
              <w:t>0.00269</w:t>
            </w:r>
            <w:r>
              <w:rPr>
                <w:rFonts w:hint="default"/>
                <w:b w:val="0"/>
                <w:bCs w:val="0"/>
                <w:color w:val="auto"/>
                <w:spacing w:val="-3"/>
              </w:rPr>
              <w:t>7cos3θ</w:t>
            </w:r>
            <w:r>
              <w:rPr>
                <w:rFonts w:hint="default"/>
                <w:b w:val="0"/>
                <w:bCs w:val="0"/>
                <w:color w:val="auto"/>
                <w:spacing w:val="-3"/>
                <w:vertAlign w:val="subscript"/>
              </w:rPr>
              <w:t>0</w:t>
            </w:r>
            <w:r>
              <w:rPr>
                <w:rFonts w:hint="default"/>
                <w:b w:val="0"/>
                <w:bCs w:val="0"/>
                <w:color w:val="auto"/>
                <w:spacing w:val="-3"/>
              </w:rPr>
              <w:t>+0.00148sin3θ</w:t>
            </w:r>
            <w:r>
              <w:rPr>
                <w:rFonts w:hint="default"/>
                <w:b w:val="0"/>
                <w:bCs w:val="0"/>
                <w:color w:val="auto"/>
                <w:spacing w:val="-3"/>
                <w:vertAlign w:val="subscript"/>
              </w:rPr>
              <w:t>0</w:t>
            </w:r>
            <w:r>
              <w:rPr>
                <w:rFonts w:hint="default"/>
                <w:b w:val="0"/>
                <w:bCs w:val="0"/>
                <w:color w:val="auto"/>
                <w:spacing w:val="-3"/>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式中：θ</w:t>
            </w:r>
            <w:r>
              <w:rPr>
                <w:rFonts w:hint="default" w:ascii="Times New Roman" w:hAnsi="Times New Roman" w:eastAsia="仿宋" w:cs="Times New Roman"/>
                <w:color w:val="auto"/>
                <w:sz w:val="24"/>
                <w:vertAlign w:val="subscript"/>
              </w:rPr>
              <w:t>0</w:t>
            </w:r>
            <w:r>
              <w:rPr>
                <w:rFonts w:hint="default" w:ascii="Times New Roman" w:hAnsi="Times New Roman" w:eastAsia="仿宋" w:cs="Times New Roman"/>
                <w:color w:val="auto"/>
                <w:sz w:val="24"/>
              </w:rPr>
              <w:t>=360dn/364；dn为一年中日期序数（0,1,2,364）。</w:t>
            </w:r>
          </w:p>
          <w:p>
            <w:pPr>
              <w:spacing w:line="360" w:lineRule="auto"/>
              <w:ind w:firstLine="480" w:firstLineChars="20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L=D/tgh</w:t>
            </w:r>
            <w:r>
              <w:rPr>
                <w:rFonts w:hint="default" w:ascii="Times New Roman" w:hAnsi="Times New Roman" w:eastAsia="仿宋" w:cs="Times New Roman"/>
                <w:color w:val="auto"/>
                <w:sz w:val="24"/>
                <w:vertAlign w:val="subscript"/>
              </w:rPr>
              <w:t>0</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式中：L—风机光影长度；D—风机高度，本项目风机高度为</w:t>
            </w:r>
            <w:r>
              <w:rPr>
                <w:rFonts w:hint="eastAsia" w:eastAsia="仿宋" w:cs="Times New Roman"/>
                <w:color w:val="auto"/>
                <w:sz w:val="24"/>
                <w:lang w:val="en-US" w:eastAsia="zh-CN"/>
              </w:rPr>
              <w:t>115</w:t>
            </w:r>
            <w:r>
              <w:rPr>
                <w:rFonts w:hint="default" w:ascii="Times New Roman" w:hAnsi="Times New Roman" w:eastAsia="仿宋" w:cs="Times New Roman"/>
                <w:color w:val="auto"/>
                <w:sz w:val="24"/>
              </w:rPr>
              <w:t>m，叶轮直径为</w:t>
            </w:r>
            <w:r>
              <w:rPr>
                <w:rFonts w:hint="eastAsia" w:eastAsia="仿宋" w:cs="Times New Roman"/>
                <w:color w:val="auto"/>
                <w:sz w:val="24"/>
                <w:lang w:val="en-US" w:eastAsia="zh-CN"/>
              </w:rPr>
              <w:t>200</w:t>
            </w:r>
            <w:r>
              <w:rPr>
                <w:rFonts w:hint="default" w:ascii="Times New Roman" w:hAnsi="Times New Roman" w:eastAsia="仿宋" w:cs="Times New Roman"/>
                <w:color w:val="auto"/>
                <w:sz w:val="24"/>
              </w:rPr>
              <w:t>m，则风机有效高度为255m。</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经计算，本项目风机在冬至日10:00~14:00时段内，整点时刻各风机最远的光影影响范围为以风机基础为中心，半径379.9m的区域。据调查，风机机位379.9m范围内</w:t>
            </w:r>
            <w:r>
              <w:rPr>
                <w:rFonts w:hint="eastAsia" w:ascii="Times New Roman" w:hAnsi="Times New Roman" w:eastAsia="仿宋" w:cs="Times New Roman"/>
                <w:color w:val="auto"/>
                <w:sz w:val="24"/>
                <w:lang w:val="en-US" w:eastAsia="zh-CN"/>
              </w:rPr>
              <w:t>无</w:t>
            </w:r>
            <w:r>
              <w:rPr>
                <w:rFonts w:hint="default" w:ascii="Times New Roman" w:hAnsi="Times New Roman" w:eastAsia="仿宋" w:cs="Times New Roman"/>
                <w:color w:val="auto"/>
                <w:sz w:val="24"/>
              </w:rPr>
              <w:t>居民住宅分布，风机叶片光影对居民点的影响较小。</w:t>
            </w:r>
          </w:p>
          <w:p>
            <w:pPr>
              <w:spacing w:line="360" w:lineRule="auto"/>
              <w:ind w:right="-42" w:rightChars="-20"/>
              <w:rPr>
                <w:rFonts w:hint="default" w:ascii="Times New Roman" w:hAnsi="Times New Roman" w:eastAsia="仿宋" w:cs="Times New Roman"/>
                <w:b/>
                <w:color w:val="auto"/>
                <w:sz w:val="24"/>
              </w:rPr>
            </w:pPr>
            <w:r>
              <w:rPr>
                <w:rFonts w:hint="eastAsia" w:eastAsia="仿宋" w:cs="Times New Roman"/>
                <w:b/>
                <w:color w:val="auto"/>
                <w:sz w:val="24"/>
                <w:lang w:val="en-US" w:eastAsia="zh-CN"/>
              </w:rPr>
              <w:t>8</w:t>
            </w:r>
            <w:r>
              <w:rPr>
                <w:rFonts w:hint="eastAsia" w:ascii="Times New Roman" w:hAnsi="Times New Roman" w:eastAsia="仿宋" w:cs="Times New Roman"/>
                <w:b/>
                <w:color w:val="auto"/>
                <w:sz w:val="24"/>
                <w:lang w:val="en-US" w:eastAsia="zh-CN"/>
              </w:rPr>
              <w:t>、</w:t>
            </w:r>
            <w:r>
              <w:rPr>
                <w:rFonts w:hint="default" w:ascii="Times New Roman" w:hAnsi="Times New Roman" w:eastAsia="仿宋" w:cs="Times New Roman"/>
                <w:b/>
                <w:color w:val="auto"/>
                <w:sz w:val="24"/>
              </w:rPr>
              <w:t>服役期满后的环境影响分析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若建设单位考虑在风电场服役期满后继续利用该处场地进行风力发电，则应在完善相关环评等手续后，对风力发电机组及相关电气设备进行更换，尽量利用已有建构筑物；若不再进行风力发电，则应对项目使用的风力发电机组、电气设备、建构筑物等进行拆除。</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服役期满后，本工程风电场的主要废弃物为风力发电机组以及电气设备。服役期满后，风力发电机组及相应的电气设备均有成熟的回收技术，应交由生产厂家回收处理；同时，服役期满后应拆除硬化地面及设备基础，拆除过程中应尽量采用影响较小的开挖方式，并在拆除完成后及时恢复土地原有使用功能。</w:t>
            </w:r>
          </w:p>
          <w:p>
            <w:pPr>
              <w:numPr>
                <w:ilvl w:val="0"/>
                <w:numId w:val="0"/>
              </w:numPr>
              <w:spacing w:line="360" w:lineRule="auto"/>
              <w:jc w:val="both"/>
              <w:rPr>
                <w:rFonts w:hint="eastAsia"/>
                <w:b/>
                <w:bCs/>
                <w:color w:val="auto"/>
                <w:spacing w:val="-4"/>
                <w:sz w:val="24"/>
                <w:szCs w:val="24"/>
                <w:lang w:val="en-US" w:eastAsia="zh-CN"/>
              </w:rPr>
            </w:pPr>
          </w:p>
          <w:p>
            <w:pPr>
              <w:pStyle w:val="2"/>
              <w:rPr>
                <w:rFonts w:hint="eastAsia"/>
                <w:b/>
                <w:bCs/>
                <w:color w:val="auto"/>
                <w:spacing w:val="-4"/>
                <w:sz w:val="24"/>
                <w:szCs w:val="24"/>
                <w:lang w:val="en-US" w:eastAsia="zh-CN"/>
              </w:rPr>
            </w:pPr>
          </w:p>
          <w:p>
            <w:pPr>
              <w:pStyle w:val="2"/>
              <w:rPr>
                <w:rFonts w:hint="eastAsia"/>
                <w:b/>
                <w:bCs/>
                <w:color w:val="auto"/>
                <w:spacing w:val="-4"/>
                <w:sz w:val="24"/>
                <w:szCs w:val="24"/>
                <w:lang w:val="en-US" w:eastAsia="zh-CN"/>
              </w:rPr>
            </w:pPr>
          </w:p>
          <w:p>
            <w:pPr>
              <w:pStyle w:val="2"/>
              <w:rPr>
                <w:rFonts w:hint="eastAsia"/>
                <w:b/>
                <w:bCs/>
                <w:color w:val="auto"/>
                <w:spacing w:val="-4"/>
                <w:sz w:val="24"/>
                <w:szCs w:val="24"/>
                <w:lang w:val="en-US" w:eastAsia="zh-CN"/>
              </w:rPr>
            </w:pPr>
          </w:p>
          <w:p>
            <w:pPr>
              <w:pStyle w:val="2"/>
              <w:rPr>
                <w:rFonts w:hint="eastAsia"/>
                <w:b/>
                <w:bCs/>
                <w:color w:val="auto"/>
                <w:spacing w:val="-4"/>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67" w:hRule="atLeast"/>
          <w:jc w:val="center"/>
        </w:trPr>
        <w:tc>
          <w:tcPr>
            <w:tcW w:w="879" w:type="dxa"/>
            <w:vAlign w:val="center"/>
          </w:tcPr>
          <w:p>
            <w:pPr>
              <w:pStyle w:val="17"/>
              <w:adjustRightInd w:val="0"/>
              <w:snapToGrid w:val="0"/>
              <w:spacing w:before="0" w:beforeAutospacing="0" w:after="0" w:afterAutospacing="0"/>
              <w:jc w:val="center"/>
              <w:rPr>
                <w:rFonts w:hint="default" w:ascii="Times New Roman" w:hAnsi="Times New Roman" w:eastAsia="仿宋" w:cs="Times New Roman"/>
                <w:bCs/>
                <w:color w:val="auto"/>
                <w:kern w:val="2"/>
                <w:szCs w:val="24"/>
                <w:lang w:val="en-US"/>
              </w:rPr>
            </w:pPr>
            <w:r>
              <w:rPr>
                <w:rFonts w:hint="default" w:ascii="Times New Roman" w:hAnsi="Times New Roman" w:eastAsia="仿宋" w:cs="Times New Roman"/>
                <w:bCs/>
                <w:color w:val="auto"/>
                <w:kern w:val="2"/>
                <w:szCs w:val="24"/>
                <w:lang w:val="en-US"/>
              </w:rPr>
              <w:t>选址选线环境合理性分析</w:t>
            </w:r>
          </w:p>
        </w:tc>
        <w:tc>
          <w:tcPr>
            <w:tcW w:w="8363" w:type="dxa"/>
          </w:tcPr>
          <w:p>
            <w:pPr>
              <w:spacing w:line="360" w:lineRule="auto"/>
              <w:rPr>
                <w:rFonts w:hint="default" w:ascii="Times New Roman" w:hAnsi="Times New Roman" w:eastAsia="仿宋" w:cs="Times New Roman"/>
                <w:b/>
                <w:color w:val="auto"/>
                <w:sz w:val="24"/>
              </w:rPr>
            </w:pPr>
            <w:r>
              <w:rPr>
                <w:rFonts w:hint="eastAsia" w:eastAsia="仿宋" w:cs="Times New Roman"/>
                <w:b/>
                <w:color w:val="auto"/>
                <w:sz w:val="24"/>
                <w:lang w:val="en-US" w:eastAsia="zh-CN"/>
              </w:rPr>
              <w:t>9、</w:t>
            </w:r>
            <w:r>
              <w:rPr>
                <w:rFonts w:hint="default" w:ascii="Times New Roman" w:hAnsi="Times New Roman" w:eastAsia="仿宋" w:cs="Times New Roman"/>
                <w:b/>
                <w:color w:val="auto"/>
                <w:sz w:val="24"/>
              </w:rPr>
              <w:t>选址合理性分析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A、风电场选址合理性分析</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风电场场址选择技术规定》有关环境保护中“风电场选址时应注意与附近居民、工厂、企事业单位（点）保持适当距离，尽量减少噪音污染等。另外，风电场场址内树木应尽量少、以便在建设和施工过程中少砍伐树木”的要求，项目场址条件如下：</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fldChar w:fldCharType="begin"/>
            </w:r>
            <w:r>
              <w:rPr>
                <w:rFonts w:hint="default" w:ascii="Times New Roman" w:hAnsi="Times New Roman" w:eastAsia="仿宋" w:cs="Times New Roman"/>
                <w:color w:val="auto"/>
                <w:sz w:val="24"/>
              </w:rPr>
              <w:instrText xml:space="preserve"> = 1 \* ROMAN </w:instrText>
            </w:r>
            <w:r>
              <w:rPr>
                <w:rFonts w:hint="default" w:ascii="Times New Roman" w:hAnsi="Times New Roman" w:eastAsia="仿宋" w:cs="Times New Roman"/>
                <w:color w:val="auto"/>
                <w:sz w:val="24"/>
              </w:rPr>
              <w:fldChar w:fldCharType="separate"/>
            </w:r>
            <w:r>
              <w:rPr>
                <w:rFonts w:hint="default" w:ascii="Times New Roman" w:hAnsi="Times New Roman" w:eastAsia="仿宋" w:cs="Times New Roman"/>
                <w:color w:val="auto"/>
                <w:sz w:val="24"/>
              </w:rPr>
              <w:t>I</w:t>
            </w:r>
            <w:r>
              <w:rPr>
                <w:rFonts w:hint="default" w:ascii="Times New Roman" w:hAnsi="Times New Roman" w:eastAsia="仿宋" w:cs="Times New Roman"/>
                <w:color w:val="auto"/>
                <w:sz w:val="24"/>
              </w:rPr>
              <w:fldChar w:fldCharType="end"/>
            </w:r>
            <w:r>
              <w:rPr>
                <w:rFonts w:hint="default" w:ascii="Times New Roman" w:hAnsi="Times New Roman" w:eastAsia="仿宋" w:cs="Times New Roman"/>
                <w:color w:val="auto"/>
                <w:sz w:val="24"/>
              </w:rPr>
              <w:t>、本风电场风机点位与周边居民点、工厂和企事业单位的最近距离约</w:t>
            </w:r>
            <w:r>
              <w:rPr>
                <w:rFonts w:hint="eastAsia" w:eastAsia="仿宋" w:cs="Times New Roman"/>
                <w:color w:val="auto"/>
                <w:sz w:val="24"/>
                <w:lang w:val="en-US" w:eastAsia="zh-CN"/>
              </w:rPr>
              <w:t>510m以上</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fldChar w:fldCharType="begin"/>
            </w:r>
            <w:r>
              <w:rPr>
                <w:rFonts w:hint="default" w:ascii="Times New Roman" w:hAnsi="Times New Roman" w:eastAsia="仿宋" w:cs="Times New Roman"/>
                <w:color w:val="auto"/>
                <w:sz w:val="24"/>
              </w:rPr>
              <w:instrText xml:space="preserve"> = 2 \* ROMAN </w:instrText>
            </w:r>
            <w:r>
              <w:rPr>
                <w:rFonts w:hint="default" w:ascii="Times New Roman" w:hAnsi="Times New Roman" w:eastAsia="仿宋" w:cs="Times New Roman"/>
                <w:color w:val="auto"/>
                <w:sz w:val="24"/>
              </w:rPr>
              <w:fldChar w:fldCharType="separate"/>
            </w:r>
            <w:r>
              <w:rPr>
                <w:rFonts w:hint="default" w:ascii="Times New Roman" w:hAnsi="Times New Roman" w:eastAsia="仿宋" w:cs="Times New Roman"/>
                <w:color w:val="auto"/>
                <w:sz w:val="24"/>
              </w:rPr>
              <w:t>II</w:t>
            </w:r>
            <w:r>
              <w:rPr>
                <w:rFonts w:hint="default" w:ascii="Times New Roman" w:hAnsi="Times New Roman" w:eastAsia="仿宋" w:cs="Times New Roman"/>
                <w:color w:val="auto"/>
                <w:sz w:val="24"/>
              </w:rPr>
              <w:fldChar w:fldCharType="end"/>
            </w:r>
            <w:r>
              <w:rPr>
                <w:rFonts w:hint="default" w:ascii="Times New Roman" w:hAnsi="Times New Roman" w:eastAsia="仿宋" w:cs="Times New Roman"/>
                <w:color w:val="auto"/>
                <w:sz w:val="24"/>
              </w:rPr>
              <w:t>、本项目不涉及自然保护区、风景名胜区、世界文化和自然遗产地，风电场风机</w:t>
            </w:r>
            <w:r>
              <w:rPr>
                <w:rFonts w:hint="eastAsia" w:eastAsia="仿宋" w:cs="Times New Roman"/>
                <w:color w:val="auto"/>
                <w:sz w:val="24"/>
                <w:lang w:val="en-US" w:eastAsia="zh-CN"/>
              </w:rPr>
              <w:t>510m</w:t>
            </w:r>
            <w:r>
              <w:rPr>
                <w:rFonts w:hint="default" w:ascii="Times New Roman" w:hAnsi="Times New Roman" w:eastAsia="仿宋" w:cs="Times New Roman"/>
                <w:color w:val="auto"/>
                <w:sz w:val="24"/>
              </w:rPr>
              <w:t>范围内没有居民点、医疗卫生、文化教育、科研、行政办公等为主要功能的区域。经现场踏勘，项目场址范围内主要为林地和灌草丛。</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综上所述，本项目风电场选址是合理的。</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B、场区道路走线合理性分析</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本项目共需新建场内道路总长度约</w:t>
            </w:r>
            <w:r>
              <w:rPr>
                <w:rFonts w:hint="eastAsia" w:eastAsia="仿宋" w:cs="Times New Roman"/>
                <w:color w:val="auto"/>
                <w:kern w:val="0"/>
                <w:sz w:val="24"/>
                <w:lang w:val="en-US" w:eastAsia="zh-CN"/>
              </w:rPr>
              <w:t>2.6</w:t>
            </w:r>
            <w:r>
              <w:rPr>
                <w:rFonts w:hint="default" w:ascii="Times New Roman" w:hAnsi="Times New Roman" w:eastAsia="仿宋" w:cs="Times New Roman"/>
                <w:color w:val="auto"/>
                <w:kern w:val="0"/>
                <w:sz w:val="24"/>
              </w:rPr>
              <w:t>km。场内道路在选线时已尽可能考虑结合地形地貌以及现有通乡公路，以减少占地面积和开挖量；道路沿线不涉及特殊环境敏感区域；</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综上所述，场内道路走线合理，无环境制约性因素。</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C、集电线路选线合理性分析</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集电线路的路径选择，充分考虑了以下原则：1）集电线路尽量短；2）集电线路所在风机均匀分布；3）尽量减少各集电线路及其它管线的交叉。</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本项目集电线路尽量减少了占地以及二次施工，可知集电线路选线进行了充分考虑和设计，路径合理。</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D、施工“三场”设置合理性分析</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①砂石料场及取土（石、渣）场</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根据工程《可研报告》、《水保方案》和现场踏勘，本工程以挖方为主，工程开挖土方能满足填方需求，项目建设不设置取土场。</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主体可研资料，本项目所需要的砂石料从沿线合法的砂石料场购买解决，不设专门的砂石料场。项目所需砂石料购于当地具有合法开采权，且开采条件好，运输方便的料场，开采后的水土保持防治工作由料场经营单位承担</w:t>
            </w:r>
            <w:r>
              <w:rPr>
                <w:rFonts w:hint="default" w:ascii="Times New Roman" w:hAnsi="Times New Roman" w:eastAsia="仿宋" w:cs="Times New Roman"/>
                <w:color w:val="auto"/>
                <w:sz w:val="24"/>
              </w:rPr>
              <w:t>。</w:t>
            </w:r>
          </w:p>
          <w:p>
            <w:pPr>
              <w:spacing w:line="360" w:lineRule="auto"/>
              <w:ind w:firstLine="480" w:firstLineChars="200"/>
              <w:rPr>
                <w:rFonts w:hint="eastAsia" w:ascii="Times New Roman" w:hAnsi="Times New Roman" w:eastAsia="仿宋" w:cs="Times New Roman"/>
                <w:color w:val="auto"/>
                <w:kern w:val="0"/>
                <w:sz w:val="24"/>
                <w:lang w:eastAsia="zh-CN"/>
              </w:rPr>
            </w:pPr>
            <w:r>
              <w:rPr>
                <w:rFonts w:hint="default" w:ascii="Times New Roman" w:hAnsi="Times New Roman" w:eastAsia="仿宋" w:cs="Times New Roman"/>
                <w:color w:val="auto"/>
                <w:kern w:val="0"/>
                <w:sz w:val="24"/>
              </w:rPr>
              <w:t>②</w:t>
            </w:r>
            <w:r>
              <w:rPr>
                <w:rFonts w:hint="eastAsia" w:eastAsia="仿宋" w:cs="Times New Roman"/>
                <w:color w:val="auto"/>
                <w:kern w:val="0"/>
                <w:sz w:val="24"/>
                <w:lang w:eastAsia="zh-CN"/>
              </w:rPr>
              <w:t>施工生产生活区</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本项目布设1处</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，设置在升压站附近。</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设置的合理性主要从风电场外部、内部交通运输的便捷性以及对周边环境的影响等方面进行考虑。</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1）外部运输的便捷性。风电场工程所处地域范围内公路交通条件发达，</w:t>
            </w:r>
            <w:r>
              <w:rPr>
                <w:rFonts w:hint="eastAsia" w:eastAsia="仿宋" w:cs="Times New Roman"/>
                <w:color w:val="auto"/>
                <w:sz w:val="24"/>
                <w:lang w:eastAsia="zh-CN"/>
              </w:rPr>
              <w:t>X29县道</w:t>
            </w:r>
            <w:r>
              <w:rPr>
                <w:rFonts w:hint="default" w:ascii="Times New Roman" w:hAnsi="Times New Roman" w:eastAsia="仿宋" w:cs="Times New Roman"/>
                <w:color w:val="auto"/>
                <w:sz w:val="24"/>
              </w:rPr>
              <w:t>、</w:t>
            </w:r>
            <w:r>
              <w:rPr>
                <w:rFonts w:hint="eastAsia" w:eastAsia="仿宋" w:cs="Times New Roman"/>
                <w:color w:val="auto"/>
                <w:sz w:val="24"/>
                <w:lang w:val="en-US" w:eastAsia="zh-CN"/>
              </w:rPr>
              <w:t>G85巴陕高速</w:t>
            </w:r>
            <w:r>
              <w:rPr>
                <w:rFonts w:hint="default" w:ascii="Times New Roman" w:hAnsi="Times New Roman" w:eastAsia="仿宋" w:cs="Times New Roman"/>
                <w:color w:val="auto"/>
                <w:kern w:val="0"/>
                <w:sz w:val="24"/>
              </w:rPr>
              <w:t>及多条村村通公路，交通条件较为便利。</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2）内部运输的便捷性。</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设置在升压站附近，向其他方向输送建筑材料均较为便捷，施工设备运往</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进行维修也较为便捷。</w:t>
            </w:r>
          </w:p>
          <w:p>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3）对周边环境的影响。本项目</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仅承担建筑材料储存、施工机械维修加工及施工人员临时休息等功能，不设立专门的生活区。项目区内无自然保护区、风景名胜区和森林公园等生态敏感保护目标分布；</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产生的生活污水及生活垃圾量比较小，对周边自然环境影响不大；</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周边</w:t>
            </w:r>
            <w:r>
              <w:rPr>
                <w:rFonts w:hint="eastAsia" w:eastAsia="仿宋" w:cs="Times New Roman"/>
                <w:color w:val="auto"/>
                <w:kern w:val="0"/>
                <w:sz w:val="24"/>
                <w:lang w:val="en-US" w:eastAsia="zh-CN"/>
              </w:rPr>
              <w:t>2</w:t>
            </w:r>
            <w:r>
              <w:rPr>
                <w:rFonts w:hint="default" w:ascii="Times New Roman" w:hAnsi="Times New Roman" w:eastAsia="仿宋" w:cs="Times New Roman"/>
                <w:color w:val="auto"/>
                <w:kern w:val="0"/>
                <w:sz w:val="24"/>
              </w:rPr>
              <w:t>00m范围内无居民点分布，对周边居民影响较小。综上所述，在满足本环评提出要求的情况下，本项目</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的设置是合理的。同时建议下阶段选址设计时进一步优化</w:t>
            </w:r>
            <w:r>
              <w:rPr>
                <w:rFonts w:hint="eastAsia" w:eastAsia="仿宋" w:cs="Times New Roman"/>
                <w:color w:val="auto"/>
                <w:kern w:val="0"/>
                <w:sz w:val="24"/>
                <w:lang w:eastAsia="zh-CN"/>
              </w:rPr>
              <w:t>施工生产生活区</w:t>
            </w:r>
            <w:r>
              <w:rPr>
                <w:rFonts w:hint="default" w:ascii="Times New Roman" w:hAnsi="Times New Roman" w:eastAsia="仿宋" w:cs="Times New Roman"/>
                <w:color w:val="auto"/>
                <w:kern w:val="0"/>
                <w:sz w:val="24"/>
              </w:rPr>
              <w:t>位置，避开植被较好的区域，远离地表水体汇水区，根据地形尽量减小开挖面和土石方量。</w:t>
            </w:r>
          </w:p>
          <w:p>
            <w:pPr>
              <w:spacing w:line="360" w:lineRule="auto"/>
              <w:ind w:firstLine="480" w:firstLineChars="200"/>
              <w:rPr>
                <w:rFonts w:hint="default" w:ascii="Times New Roman" w:hAnsi="Times New Roman" w:eastAsia="仿宋" w:cs="Times New Roman"/>
                <w:color w:val="auto"/>
                <w:kern w:val="0"/>
                <w:sz w:val="24"/>
              </w:rPr>
            </w:pPr>
          </w:p>
          <w:p>
            <w:pPr>
              <w:spacing w:line="360" w:lineRule="auto"/>
              <w:rPr>
                <w:rFonts w:hint="default" w:ascii="Times New Roman" w:hAnsi="Times New Roman" w:eastAsia="仿宋" w:cs="Times New Roman"/>
                <w:color w:val="auto"/>
                <w:kern w:val="0"/>
                <w:sz w:val="24"/>
              </w:rPr>
            </w:pPr>
          </w:p>
          <w:p>
            <w:pPr>
              <w:pStyle w:val="29"/>
              <w:rPr>
                <w:rFonts w:hint="default" w:ascii="Times New Roman" w:hAnsi="Times New Roman" w:eastAsia="仿宋" w:cs="Times New Roman"/>
                <w:color w:val="auto"/>
                <w:kern w:val="0"/>
              </w:rPr>
            </w:pPr>
          </w:p>
          <w:p>
            <w:pPr>
              <w:spacing w:line="360" w:lineRule="auto"/>
              <w:rPr>
                <w:rFonts w:hint="default" w:ascii="Times New Roman" w:hAnsi="Times New Roman" w:eastAsia="仿宋" w:cs="Times New Roman"/>
                <w:color w:val="auto"/>
                <w:kern w:val="0"/>
                <w:sz w:val="24"/>
              </w:rPr>
            </w:pPr>
          </w:p>
        </w:tc>
      </w:tr>
    </w:tbl>
    <w:p>
      <w:pPr>
        <w:pStyle w:val="17"/>
        <w:jc w:val="center"/>
        <w:rPr>
          <w:rFonts w:hint="default" w:ascii="Times New Roman" w:hAnsi="Times New Roman" w:eastAsia="仿宋" w:cs="Times New Roman"/>
          <w:snapToGrid w:val="0"/>
          <w:color w:val="auto"/>
          <w:sz w:val="36"/>
          <w:szCs w:val="36"/>
        </w:rPr>
        <w:sectPr>
          <w:pgSz w:w="11906" w:h="16838"/>
          <w:pgMar w:top="1440" w:right="1800" w:bottom="1440" w:left="1800" w:header="851" w:footer="1077" w:gutter="0"/>
          <w:cols w:space="425" w:num="1"/>
          <w:docGrid w:linePitch="312" w:charSpace="0"/>
        </w:sectPr>
      </w:pPr>
    </w:p>
    <w:p>
      <w:pPr>
        <w:pStyle w:val="17"/>
        <w:jc w:val="center"/>
        <w:outlineLvl w:val="0"/>
        <w:rPr>
          <w:rFonts w:hint="default" w:ascii="黑体" w:hAnsi="黑体" w:eastAsia="黑体" w:cs="黑体"/>
          <w:snapToGrid w:val="0"/>
          <w:color w:val="auto"/>
          <w:sz w:val="30"/>
          <w:szCs w:val="30"/>
        </w:rPr>
      </w:pPr>
      <w:bookmarkStart w:id="19" w:name="_Toc66980748"/>
      <w:r>
        <w:rPr>
          <w:rFonts w:hint="default" w:ascii="黑体" w:hAnsi="黑体" w:eastAsia="黑体" w:cs="黑体"/>
          <w:snapToGrid w:val="0"/>
          <w:color w:val="auto"/>
          <w:sz w:val="30"/>
          <w:szCs w:val="30"/>
        </w:rPr>
        <w:t>五、主要生态环境保护措施</w:t>
      </w:r>
      <w:bookmarkEnd w:id="19"/>
    </w:p>
    <w:tbl>
      <w:tblPr>
        <w:tblStyle w:val="21"/>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85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6" w:hRule="atLeast"/>
          <w:jc w:val="center"/>
        </w:trPr>
        <w:tc>
          <w:tcPr>
            <w:tcW w:w="753" w:type="dxa"/>
            <w:tcMar>
              <w:left w:w="28" w:type="dxa"/>
              <w:right w:w="28" w:type="dxa"/>
            </w:tcMar>
            <w:vAlign w:val="center"/>
          </w:tcPr>
          <w:p>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pacing w:val="10"/>
                <w:sz w:val="24"/>
              </w:rPr>
              <w:t>施工期生态环境保护措施</w:t>
            </w:r>
          </w:p>
        </w:tc>
        <w:tc>
          <w:tcPr>
            <w:tcW w:w="8457" w:type="dxa"/>
          </w:tcPr>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1、生态环境保护措施</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1.1陆生植物的保护措施</w:t>
            </w:r>
          </w:p>
          <w:p>
            <w:pPr>
              <w:adjustRightInd w:val="0"/>
              <w:snapToGrid w:val="0"/>
              <w:spacing w:line="360" w:lineRule="auto"/>
              <w:ind w:firstLine="522" w:firstLineChars="200"/>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（1）避让措施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生态环境的避让措施一般是通过更改项目选址、工程设计、施工方案，道路改线，变更项目内容或规模等手段，避免项目造成的环境损失。根据本工程特点，建议以下生物影响的避免措施：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1）进行风机安装时，应在满足风力发电功率的前提下，尽量选择植被覆盖率低的林地或者灌木林地、灌草丛等处进行施工，且应画出施工红线，禁止施工人员越线施工。</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2）施工期应避免在雨季施工，同时减少土石方的开挖以及树木的砍伐，减少施工垃圾量的产生，及时清除多余的土方和石料，严禁就地倾倒覆压植被，同时采取护坡、挡土墙等防护措施，防止水土流失。</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3）严格划定施工范围和人员、车辆的行走路线，避免对施工范围之外区域的植被造成碾压和破坏。</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41" w:type="dxa"/>
                </w:tcPr>
                <w:p>
                  <w:pPr>
                    <w:pStyle w:val="29"/>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2714625" cy="3057525"/>
                        <wp:effectExtent l="0" t="0" r="9525" b="9525"/>
                        <wp:docPr id="1" name="图片 1" desc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C"/>
                                <pic:cNvPicPr>
                                  <a:picLocks noChangeAspect="1"/>
                                </pic:cNvPicPr>
                              </pic:nvPicPr>
                              <pic:blipFill>
                                <a:blip r:embed="rId36"/>
                                <a:stretch>
                                  <a:fillRect/>
                                </a:stretch>
                              </pic:blipFill>
                              <pic:spPr>
                                <a:xfrm>
                                  <a:off x="0" y="0"/>
                                  <a:ext cx="2714625" cy="3057525"/>
                                </a:xfrm>
                                <a:prstGeom prst="rect">
                                  <a:avLst/>
                                </a:prstGeom>
                              </pic:spPr>
                            </pic:pic>
                          </a:graphicData>
                        </a:graphic>
                      </wp:inline>
                    </w:drawing>
                  </w:r>
                </w:p>
                <w:p>
                  <w:pPr>
                    <w:pStyle w:val="29"/>
                    <w:jc w:val="center"/>
                    <w:rPr>
                      <w:rFonts w:hint="default" w:ascii="Times New Roman" w:hAnsi="Times New Roman" w:eastAsia="仿宋" w:cs="Times New Roman"/>
                      <w:color w:val="auto"/>
                    </w:rPr>
                  </w:pPr>
                  <w:r>
                    <w:rPr>
                      <w:rFonts w:hint="default" w:ascii="Times New Roman" w:hAnsi="Times New Roman" w:eastAsia="仿宋" w:cs="Times New Roman"/>
                      <w:bCs/>
                      <w:color w:val="auto"/>
                      <w:spacing w:val="10"/>
                    </w:rPr>
                    <w:t>禁止跨越施工红线图标</w:t>
                  </w:r>
                </w:p>
              </w:tc>
            </w:tr>
          </w:tbl>
          <w:p>
            <w:pPr>
              <w:adjustRightInd w:val="0"/>
              <w:snapToGrid w:val="0"/>
              <w:spacing w:line="360" w:lineRule="auto"/>
              <w:ind w:firstLine="522" w:firstLineChars="200"/>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（2）减缓措施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生态影响的削减是对难以避免的不利生态影响，采取一定措施减轻受影响的范围和程度。生态影响的削减通常是采取先进的生态设计方法减少损失。根据工程特点，建议采用以下生态影响的减缓措施：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1）新建道路尽量利用原有道路，尽量利用植被覆盖率低的区域，在借土填筑路基时，做好填挖平衡。</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2）工程施工过程中，严格控制临时废渣排放。施工营区等临时建筑尽可能采用成品或简易拼装方式，尽量减少对土壤及植被的破坏。</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3）要做好水土保持工作，确保在雨季施工时，施工区域不出现大规模的水土流失状况。</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4）为了防止施工区域地表土的损耗，施工开挖时将地表面30cm厚的表层土，剥离留存。待施工结束后用于施工场地平整，进行绿化。</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5）在坡度大于15°的区域安放风机，施工时应及时采取防护措施，在坡脚处设置草袋、建挡土墙或种植植物等，以减少水土流失现象发生。</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6）对施工范围内的地表植被，施工前能剥离的，应先剥离移地保存，以便施工中或施工后恢复利用。在场内公路、基础平台工程的施工中，平整回填所需的土石方，尽量直接利用开挖出来的土石方，并在覆盖土壤后，将原剥离的植被及时复位移植，以削减生态影响。</w:t>
            </w:r>
          </w:p>
          <w:p>
            <w:pPr>
              <w:adjustRightInd w:val="0"/>
              <w:snapToGrid w:val="0"/>
              <w:spacing w:line="360" w:lineRule="auto"/>
              <w:ind w:firstLine="522" w:firstLineChars="200"/>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（3）修复与补偿措施</w:t>
            </w:r>
          </w:p>
          <w:p>
            <w:pPr>
              <w:adjustRightInd w:val="0"/>
              <w:snapToGrid w:val="0"/>
              <w:spacing w:line="360" w:lineRule="auto"/>
              <w:ind w:firstLine="520" w:firstLineChars="200"/>
              <w:rPr>
                <w:rFonts w:hint="default" w:ascii="Times New Roman" w:hAnsi="Times New Roman" w:eastAsia="仿宋" w:cs="Times New Roman"/>
                <w:b/>
                <w:bCs/>
                <w:color w:val="auto"/>
                <w:spacing w:val="10"/>
                <w:sz w:val="24"/>
              </w:rPr>
            </w:pPr>
            <w:r>
              <w:rPr>
                <w:rFonts w:hint="default" w:ascii="Times New Roman" w:hAnsi="Times New Roman" w:eastAsia="仿宋" w:cs="Times New Roman"/>
                <w:bCs/>
                <w:color w:val="auto"/>
                <w:spacing w:val="10"/>
                <w:sz w:val="24"/>
              </w:rPr>
              <w:t>恢复与补偿措施主要是指对于已经造成危害的地段或地域所采取的尽量降低损害和弥补损失的补救措施，这些措施和办法都是事后而为。根据本工程的特点，建议采取以下恢复和补偿措施：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风电场场内道路沿路两侧、风电机基础平台外围山地要大量种植灌木，以种植易成活的适合山地生长的植物为主，可以选择檵木、杨树等树种。对周边稀疏林地应适当增大树木密度，可以选择当地乡土树种茅栗、栓皮栎等，尽量保持绿化覆盖率不降低，对栽种的树木和植被要进行人工深度养护，确保树木、植被的成活率。</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2）本工程新建道路共</w:t>
            </w:r>
            <w:r>
              <w:rPr>
                <w:rFonts w:hint="eastAsia" w:eastAsia="仿宋" w:cs="Times New Roman"/>
                <w:bCs/>
                <w:color w:val="auto"/>
                <w:spacing w:val="10"/>
                <w:sz w:val="24"/>
                <w:lang w:val="en-US" w:eastAsia="zh-CN"/>
              </w:rPr>
              <w:t>2.6km</w:t>
            </w:r>
            <w:r>
              <w:rPr>
                <w:rFonts w:hint="default" w:ascii="Times New Roman" w:hAnsi="Times New Roman" w:eastAsia="仿宋" w:cs="Times New Roman"/>
                <w:bCs/>
                <w:color w:val="auto"/>
                <w:spacing w:val="10"/>
                <w:sz w:val="24"/>
              </w:rPr>
              <w:t>，由于土石方开挖方会形成路堑、路基边坡，应特别注意场内道路工程附近的植被恢复，施工结束后，对道路两侧形成的挖填方边坡，采用铺植草皮和栽植草灌护坡。</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对于临时占地，由于施工人员、施工车辆及施工材料压占临时设施区改变其土壤紧实度，会影响植被的自然生长，同时材料运输过程中部分沙石、水泥洒落，施工迹地有部分建筑垃圾，因此在工程完工后应清除各种残留的建筑垃圾，对粒径大于5.0cm的碎石块进行捡选去除，在山丘区可采取人、畜力翻松。</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4）工程施工结束后，应及时对临时占地进行植被恢复。工程临时占用的植被多为针叶林和灌草丛，在“适地适草”的原则下，草种的选择以当地的优良乡土种为主。把剥离的表层熟土回填至周围的植被恢复区内，用作绿化带的覆土改造。</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1.2陆生动物的保护措施</w:t>
            </w:r>
          </w:p>
          <w:p>
            <w:pPr>
              <w:adjustRightInd w:val="0"/>
              <w:snapToGrid w:val="0"/>
              <w:spacing w:line="360" w:lineRule="auto"/>
              <w:ind w:firstLine="522" w:firstLineChars="200"/>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（1）避让措施</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优化施工时间，避开野生动物活动的高峰时段。野生鸟类和兽类大多是早晨、黄昏时或夜间外出觅食，正午一般是鸟类休息时间。为了减少工程施工噪声对野生动物的惊扰，应优化施工方式和时间的计划，避免在早晨、黄昏和正午进行高噪声作业。</w:t>
            </w:r>
          </w:p>
          <w:p>
            <w:pPr>
              <w:adjustRightInd w:val="0"/>
              <w:snapToGrid w:val="0"/>
              <w:spacing w:line="360" w:lineRule="auto"/>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（2）减缓措施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严格控制光源。在候鸟迁飞繁殖的高峰季节，对光源进行遮蔽，减少对外界的漏光量，减小对鸟类迁飞的干扰。夜间灯光容易吸引鸟类撞击，应严格控制光源使用量，尤其是在有大雾、小雨或强逆风的夜晚，应停止施工。尽量安排在非鸟类迁飞季节竖立和组装风电机。</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2）加强法治宣传，减少人为对野生动物的伤害。要对风电场的管理、施工人员和周边村民，进行野生动物保护法律的宣传和教育，防止在项目区及其周边出现乱捕滥猎野生动物的情况发生。</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严格限制施工期污染物的排放。避免生活垃圾、施工和生活污水直接排放。修建化粪池、沉淀池等污水处理设施进行处理。处理后的污水，可用于场区内的绿化和施工区域的洒水作业，既减少飞尘污染，也减少外排。最大限度地保护野生动物生境。施工及运行期产生的固体垃圾，通过收集后，定时送环卫部门统一集中处理。</w:t>
            </w:r>
          </w:p>
          <w:p>
            <w:pPr>
              <w:adjustRightInd w:val="0"/>
              <w:snapToGrid w:val="0"/>
              <w:spacing w:line="360" w:lineRule="auto"/>
              <w:ind w:firstLine="522" w:firstLineChars="200"/>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（3）修复与补偿措施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工程完工后尽快做好生态环境的恢复工作，尽量减少生境破坏对野生动物的不利影响。每个风机和集电线路施工完成后，对临时占地及永久占地附近合理绿化，种植本地的乡土树种或灌木，尽快恢复野生动物生境。</w:t>
            </w:r>
          </w:p>
          <w:p>
            <w:pPr>
              <w:adjustRightInd w:val="0"/>
              <w:snapToGrid w:val="0"/>
              <w:spacing w:line="360" w:lineRule="auto"/>
              <w:ind w:firstLine="522" w:firstLineChars="200"/>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（4）管理措施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提高施工和管理人员的法律、保护意识。教育工作人员遵守《中华人民共和国野生动物保护法》，不偷猎野生动物，特别是对国家和省级重点保护野生动物，偷猎要承担法律责任。同时要尽保护生态环境的社会义务。</w:t>
            </w:r>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制定严格的管理纪律和规章制度，规范施工和营运管理行为。施工期，严格控制施工人员数量、设备和施工作业时间，划定施工范围，严禁在未经批准的林地上施工。严禁施工和营运管理人员进入非工程区域或从事与工程无关的活动，杜绝捕杀、伤害、惊吓、袭击动物等行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0"/>
              <w:gridCol w:w="4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0" w:type="dxa"/>
                </w:tcPr>
                <w:p>
                  <w:pPr>
                    <w:adjustRightInd w:val="0"/>
                    <w:snapToGrid w:val="0"/>
                    <w:spacing w:line="360" w:lineRule="auto"/>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2476500" cy="2327910"/>
                        <wp:effectExtent l="0" t="0" r="0" b="15240"/>
                        <wp:docPr id="20" name="图片 20" descr="13880805_1444705039419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880805_1444705039419_720"/>
                                <pic:cNvPicPr>
                                  <a:picLocks noChangeAspect="1"/>
                                </pic:cNvPicPr>
                              </pic:nvPicPr>
                              <pic:blipFill>
                                <a:blip r:embed="rId37"/>
                                <a:stretch>
                                  <a:fillRect/>
                                </a:stretch>
                              </pic:blipFill>
                              <pic:spPr>
                                <a:xfrm>
                                  <a:off x="0" y="0"/>
                                  <a:ext cx="2476500" cy="2327910"/>
                                </a:xfrm>
                                <a:prstGeom prst="rect">
                                  <a:avLst/>
                                </a:prstGeom>
                              </pic:spPr>
                            </pic:pic>
                          </a:graphicData>
                        </a:graphic>
                      </wp:inline>
                    </w:drawing>
                  </w:r>
                </w:p>
                <w:p>
                  <w:pPr>
                    <w:pStyle w:val="29"/>
                    <w:jc w:val="center"/>
                    <w:rPr>
                      <w:rFonts w:hint="default" w:ascii="Times New Roman" w:hAnsi="Times New Roman" w:eastAsia="仿宋" w:cs="Times New Roman"/>
                      <w:color w:val="auto"/>
                    </w:rPr>
                  </w:pPr>
                  <w:r>
                    <w:rPr>
                      <w:rFonts w:hint="default" w:ascii="Times New Roman" w:hAnsi="Times New Roman" w:eastAsia="仿宋" w:cs="Times New Roman"/>
                      <w:bCs/>
                      <w:color w:val="auto"/>
                      <w:spacing w:val="10"/>
                    </w:rPr>
                    <w:t>避让动物图标</w:t>
                  </w:r>
                </w:p>
              </w:tc>
              <w:tc>
                <w:tcPr>
                  <w:tcW w:w="4121" w:type="dxa"/>
                </w:tcPr>
                <w:p>
                  <w:pPr>
                    <w:adjustRightInd w:val="0"/>
                    <w:snapToGrid w:val="0"/>
                    <w:spacing w:line="360" w:lineRule="auto"/>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1654810" cy="2322830"/>
                        <wp:effectExtent l="0" t="0" r="2540" b="1270"/>
                        <wp:docPr id="21" name="图片 21" descr="084708558546565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847085585465652_b"/>
                                <pic:cNvPicPr>
                                  <a:picLocks noChangeAspect="1"/>
                                </pic:cNvPicPr>
                              </pic:nvPicPr>
                              <pic:blipFill>
                                <a:blip r:embed="rId38"/>
                                <a:stretch>
                                  <a:fillRect/>
                                </a:stretch>
                              </pic:blipFill>
                              <pic:spPr>
                                <a:xfrm>
                                  <a:off x="0" y="0"/>
                                  <a:ext cx="1654810" cy="2322830"/>
                                </a:xfrm>
                                <a:prstGeom prst="rect">
                                  <a:avLst/>
                                </a:prstGeom>
                              </pic:spPr>
                            </pic:pic>
                          </a:graphicData>
                        </a:graphic>
                      </wp:inline>
                    </w:drawing>
                  </w:r>
                </w:p>
                <w:p>
                  <w:pPr>
                    <w:pStyle w:val="29"/>
                    <w:ind w:firstLine="0"/>
                    <w:jc w:val="center"/>
                    <w:rPr>
                      <w:rFonts w:hint="default" w:ascii="Times New Roman" w:hAnsi="Times New Roman" w:eastAsia="仿宋" w:cs="Times New Roman"/>
                      <w:color w:val="auto"/>
                    </w:rPr>
                  </w:pPr>
                  <w:r>
                    <w:rPr>
                      <w:rFonts w:hint="default" w:ascii="Times New Roman" w:hAnsi="Times New Roman" w:eastAsia="仿宋" w:cs="Times New Roman"/>
                      <w:bCs/>
                      <w:color w:val="auto"/>
                      <w:spacing w:val="10"/>
                    </w:rPr>
                    <w:t>禁止捕猎野生动物教育</w:t>
                  </w:r>
                </w:p>
              </w:tc>
            </w:tr>
          </w:tbl>
          <w:p>
            <w:pPr>
              <w:adjustRightInd w:val="0"/>
              <w:snapToGrid w:val="0"/>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1.3重点保护野生动物的保护措施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加强有关野生动物保护的宣传，在主要的施工区、施工人员的生活区等关键区域设立野生动物保护的宣传栏，对施工区域内可能出现的又极易被捕杀的重点保护野生动物做重点标示及说明，包括动物图片、保护级别、保护意义及对捕杀野生保护动物的惩罚措施，提高施工人员对野生动物的保护意识。</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（2）加大栖息地保护，施工过程应合理安排，尽量避开敏感期，缩小影响范围，缩短影响时间。减少人为对环境的干扰、污染与破坏。合理安排设施设备的使用，减少噪声设备的使用时间和强度。</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1.4水生生态保护措施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为减免本工程对水生生态环境可能造成的不利影响，本工程施工期应增强施工人员的环境保护意识，划定施工区域界限，强化施工管理，严格控制施工人员和施工机械的活动范围。并分别针对施工废水、生活污水、施工扬尘和施工造成的水土流失，采取一定的处理和防治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（1）废水处理措施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施工和生活废水量较小，通过修建隔油池、沉淀池等污水处理设施进行处理定期清运，不外排。</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（2）施工扬尘污染防治措施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灰渣等起尘原材料、多尘物料，采用密闭式槽车或帆布遮盖运输、覆盖堆放。混凝土搅拌站设置在密闭的工棚内，同时采用商品（湿）水泥和水泥预制件，减少水泥粉尘。</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施工场地定期洒水防止浮尘产生，运输车辆低速行驶或限速行驶减少扬尘量，在大风时加大洒水量及洒水次数。</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（3）水土流失防治措施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风机基础及缆沟开挖，避开大风天气及雨季，尽量压缩开挖土方量，保持挖填大致平衡，减少弃土量。</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废弃渣土集中放在低凹、坑地，用于施工道路的填筑。</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工程施工过程中和施工结束后，及时采取水土保持措施，对施工场地进行平整、修缮和植被恢复，防治水土流失。</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本项目不直接涉及水体，在切实落实水保、环保提出的各项措施后，本工程对水体中的水生生物影响有限，对水生环境影响较小。</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1.5景观生态保护措施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合理选址选线。针对景观特征，合理地选择风机机位和场内道路基线。风机机位尽量选择无林地，或疏林地、草丛地。场内道路尽量利用现有公路和拓宽后的上山便道，进行扩建。减少新建道路。同时选择隐蔽性好、易于恢复，或便于今后留给当地村民作农耕通道的地方，减少对山体的开挖，减轻对自然环境的破坏和对自然景观的潜在影响。</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（2）采取景观友好的设计方案。在设计中尽量使风机塔、叶片的外形和色彩，与景观环境保持协调，与自然山体匹配，使视觉舒适。</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景观恢复与植被重建。对风机机位、施工道路施工中毁损的地貌进行适当修复，对其它破坏的植被进行恢复，并从营造景观的角度进行设计和绿化美化，在恢复的同时改善景观面貌。绿化美化除考虑视觉景观外，还应考虑增强其保持水土的功能和综合的生态环境功能。</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2、大气环境保护措施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为减轻施工期对周边大气环境的影响，建议采取以下措施：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（1）土石方开挖、回填及临时堆土场扬尘</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项目风机基础开挖及风电场内道路施工时土石方开挖、回填及堆放将会产生扬尘，建设单位应采取以下措施减小土石方开挖、回填及堆放影响：</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①加强施工管理，提倡文明施工，避免在大风天施工，尤其是引起地表大面积扰动的作业。</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按照《大气污染防治行动计划》和《环境空气细颗粒物污染综合防治技术政策》要求，施工期间应做到施工扬尘污染防治八个100%（施工工地周边100%围挡、出入车辆100%冲洗、拆迁工地100%湿法作业、渣土车辆100%密闭运输、施工现场地面100%硬化、物料堆放100%覆盖），同时应对粉状物料贮存场所，应采取防尘网和防尘抑尘措施，防止颗粒物逸散，建筑面积5000平方米以上的施工工地100%安装在线监控，工地内非道路移动机械使用油品及车辆100%达标。</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③升压站施工前先行修筑围墙，并在周围设置密目网进行遮盖。</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④施工现场堆放砂石等易产生扬尘污染物料的，采取分类集中堆放的方式，堆放高度在0.7m以下，其周围设置封闭的围挡，高度不低于2.5m，并用密目网或防尘布等其它遮挡材料进行覆盖。</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⑤施工阶段设置环境保护管理人员，其职责是指导和管理施工现场的工程弃土、建筑垃圾、建筑材料的处置、清运、堆放，场地恢复和硬化，清除进出施工现场道路上的泥土、弃料以及轮胎上的泥土，防止二次扬尘污染。</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采取以上措施后，土石方开挖、回填及临时堆土场扬尘影响范围较小，对周边环境及敏感点影响不大。</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（2）交通运输扬尘</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本环评要求施工单位采取如下措施减轻交通运输扬尘对周边大气环境的影响：</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①加强道路管理和维护，保持路面平坦清洁，无雨日要勤洒水；配备公路养护、维修、清扫队伍，使道路处于良好的运作状态，削减车辆运输产生的扬尘。</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②在物资运输过程中注意防止环境空气污染。水泥、石灰、粉煤灰等细颗粒材料运输采用密封罐车；采用敞篷车运输，用篷布遮盖；装卸、堆放中应防止物料流散。</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③水泥临时备料场宜建在有排浆引流的混凝土搅拌场或预制场内，就近使用。</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④在施工区控制车速，靠近敏感区行驶的车辆，车速不得超过20km/h。</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施工期结束后，交通粉尘浓度大幅降低，对当地局部环境空气质量影响不大。</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（3）燃料废气</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针对施工过程中产生的燃料废气，本环评建议采取如下措施：</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①严格执行《机动车强制报废标准规定》，推行强制更新报废制度，特别是发动机耗油多、效率低、排放尾气严重超标的老旧车辆，应予以更新。</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②选用符合国家有关卫生标准的施工机械和运输车辆，使用符合标准的油料或清洁能源，使其排放的废气能够达到国家标准。加强对燃油机械设备的维护和保养，使发动机处于正常、良好的工作状态。</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项目施工区域地势较空旷，空气稀释能力较强，燃油烟气及汽车尾气排放后，经空气迅速稀释扩散，不会对周边环境产生明显的影响。</w:t>
            </w:r>
          </w:p>
          <w:p>
            <w:pPr>
              <w:autoSpaceDE w:val="0"/>
              <w:autoSpaceDN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综上所述，</w:t>
            </w:r>
            <w:r>
              <w:rPr>
                <w:rFonts w:hint="default" w:ascii="Times New Roman" w:hAnsi="Times New Roman" w:eastAsia="仿宋" w:cs="Times New Roman"/>
                <w:color w:val="auto"/>
                <w:sz w:val="24"/>
              </w:rPr>
              <w:t>项目的施工期间</w:t>
            </w:r>
            <w:r>
              <w:rPr>
                <w:rFonts w:hint="default" w:ascii="Times New Roman" w:hAnsi="Times New Roman" w:eastAsia="仿宋" w:cs="Times New Roman"/>
                <w:color w:val="auto"/>
                <w:kern w:val="0"/>
                <w:sz w:val="24"/>
              </w:rPr>
              <w:t>会对局部地区的</w:t>
            </w:r>
            <w:r>
              <w:rPr>
                <w:rFonts w:hint="default" w:ascii="Times New Roman" w:hAnsi="Times New Roman" w:eastAsia="仿宋" w:cs="Times New Roman"/>
                <w:color w:val="auto"/>
                <w:sz w:val="24"/>
              </w:rPr>
              <w:t>环境空气质量</w:t>
            </w:r>
            <w:r>
              <w:rPr>
                <w:rFonts w:hint="default" w:ascii="Times New Roman" w:hAnsi="Times New Roman" w:eastAsia="仿宋" w:cs="Times New Roman"/>
                <w:color w:val="auto"/>
                <w:kern w:val="0"/>
                <w:sz w:val="24"/>
              </w:rPr>
              <w:t>造成一定的影响，但随着施工期的结束，这些影响也随之消失。</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3、地表水环境保护措施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施工期废水乱排乱放会对周边环境造成不良影响，需采取相应措施进行处理。</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（1）施工生产废水处理</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fldChar w:fldCharType="begin"/>
            </w:r>
            <w:r>
              <w:rPr>
                <w:rFonts w:hint="default" w:ascii="Times New Roman" w:hAnsi="Times New Roman" w:eastAsia="仿宋" w:cs="Times New Roman"/>
                <w:color w:val="auto"/>
                <w:sz w:val="24"/>
              </w:rPr>
              <w:instrText xml:space="preserve"> = 1 \* GB3 </w:instrText>
            </w:r>
            <w:r>
              <w:rPr>
                <w:rFonts w:hint="default" w:ascii="Times New Roman" w:hAnsi="Times New Roman" w:eastAsia="仿宋" w:cs="Times New Roman"/>
                <w:color w:val="auto"/>
                <w:sz w:val="24"/>
              </w:rPr>
              <w:fldChar w:fldCharType="separate"/>
            </w:r>
            <w:r>
              <w:rPr>
                <w:rFonts w:hint="default" w:ascii="Times New Roman" w:hAnsi="Times New Roman" w:eastAsia="仿宋" w:cs="Times New Roman"/>
                <w:color w:val="auto"/>
                <w:sz w:val="24"/>
              </w:rPr>
              <w:t>①</w:t>
            </w:r>
            <w:r>
              <w:rPr>
                <w:rFonts w:hint="default" w:ascii="Times New Roman" w:hAnsi="Times New Roman" w:eastAsia="仿宋" w:cs="Times New Roman"/>
                <w:color w:val="auto"/>
                <w:sz w:val="24"/>
              </w:rPr>
              <w:fldChar w:fldCharType="end"/>
            </w:r>
            <w:r>
              <w:rPr>
                <w:rFonts w:hint="default" w:ascii="Times New Roman" w:hAnsi="Times New Roman" w:eastAsia="仿宋" w:cs="Times New Roman"/>
                <w:color w:val="auto"/>
                <w:sz w:val="24"/>
              </w:rPr>
              <w:t>处理方法</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生产废水处理方法主要有隔油池处理和成套油水分离设备处理。隔油池构造简单，造价低，管理方便，但处理废水量小。成套油水分离设备油水分离效果好，油份回收率和去除率高，适用于含油量高的废水，但设备投资高，修理保养要求高。本工程废水产生量小，石油类浓度低，考虑采用隔油池进行处理后回用。</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施工生产废水采用隔油池处理后，石油类浓度可满足回用水质要求，回用具有可行性和可靠性。隔油池的浮油交由有资质的单位处理，隔油池处理规模为2.0m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/d，数量1个。由于施工生产废水间歇产生，且水量较小，主要污染物为石油类，废水事故应急收集和贮存采用隔油池即可。</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fldChar w:fldCharType="begin"/>
            </w:r>
            <w:r>
              <w:rPr>
                <w:rFonts w:hint="default" w:ascii="Times New Roman" w:hAnsi="Times New Roman" w:eastAsia="仿宋" w:cs="Times New Roman"/>
                <w:color w:val="auto"/>
                <w:sz w:val="24"/>
              </w:rPr>
              <w:instrText xml:space="preserve"> = 2 \* GB3 </w:instrText>
            </w:r>
            <w:r>
              <w:rPr>
                <w:rFonts w:hint="default" w:ascii="Times New Roman" w:hAnsi="Times New Roman" w:eastAsia="仿宋" w:cs="Times New Roman"/>
                <w:color w:val="auto"/>
                <w:sz w:val="24"/>
              </w:rPr>
              <w:fldChar w:fldCharType="separate"/>
            </w:r>
            <w:r>
              <w:rPr>
                <w:rFonts w:hint="default" w:ascii="Times New Roman" w:hAnsi="Times New Roman" w:eastAsia="仿宋" w:cs="Times New Roman"/>
                <w:color w:val="auto"/>
                <w:sz w:val="24"/>
              </w:rPr>
              <w:t>②</w:t>
            </w:r>
            <w:r>
              <w:rPr>
                <w:rFonts w:hint="default" w:ascii="Times New Roman" w:hAnsi="Times New Roman" w:eastAsia="仿宋" w:cs="Times New Roman"/>
                <w:color w:val="auto"/>
                <w:sz w:val="24"/>
              </w:rPr>
              <w:fldChar w:fldCharType="end"/>
            </w:r>
            <w:r>
              <w:rPr>
                <w:rFonts w:hint="default" w:ascii="Times New Roman" w:hAnsi="Times New Roman" w:eastAsia="仿宋" w:cs="Times New Roman"/>
                <w:color w:val="auto"/>
                <w:sz w:val="24"/>
              </w:rPr>
              <w:t>施工生产废水排放去向和标准</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施工生产废水考虑处理后回用于冲洗，冲洗用水量大于废水产生量，可以实现闭路循环，回用具有可行性和可靠性。</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（2）生活污水处理</w:t>
            </w:r>
          </w:p>
          <w:p>
            <w:pPr>
              <w:spacing w:line="360" w:lineRule="auto"/>
              <w:ind w:firstLine="480"/>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施工期间，施工人员生活污水依托租住房屋现有设施处理。</w:t>
            </w:r>
          </w:p>
          <w:p>
            <w:pPr>
              <w:spacing w:line="360" w:lineRule="auto"/>
              <w:ind w:firstLine="480" w:firstLineChars="200"/>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rPr>
              <w:t>（3）地表水防治措施</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加强施工管理，优化施工时序，尽量避开雨季挖填施工。暴雨天不进行施工作业，防止施工产生的土方随地表径流进入水体。应在雨季到来之前完成相应的拦截措施，施工时做到“先防护，后施工”，在施工场地汇水区域下方，设置排水沟和沉淀池。</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②新建及改造检修道路施工时，设置截排水沟将地表水流排至平缓地段，减少径流对土壤的冲刷。在截排水沟的末端设置沉砂池，对地表水流进行沉淀处理后再排出。</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③开挖土石方应及时清理、合理堆放，严格落实各项水土保持工程、生态管理措施，施工结束后及时绿化恢复，确保降雨时地表径流悬浮物浓度得到有效控制，不污染水体环境。</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④设立警示牌，规范施工行为，加强施工管理，严禁在水体周边区域乱扔建筑垃圾、塑料袋等生活垃圾。</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⑤施工完成后，及时绿化恢复，严格执行各项水土保持工程措施、生物措施和管理措施，确保降雨时地表径流悬浮物浓度得到有效控制，不污染水体环境。</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⑥施工临时场地的设置应尽量远离周边水库，同时在水体附近施工时，应加强对含油设施（包括车辆和施工设备）的管理，避免油类物质进入附近水体，同时严禁在水体附近冲洗含油器械及车辆。</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⑦严禁越界施工，禁止在水库汇水范围内设置工程临时施工设施或场所。</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4、噪声控制措施</w:t>
            </w:r>
          </w:p>
          <w:p>
            <w:pPr>
              <w:spacing w:line="360" w:lineRule="auto"/>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固定声源噪声控制措施：</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fldChar w:fldCharType="begin"/>
            </w:r>
            <w:r>
              <w:rPr>
                <w:rFonts w:hint="default" w:ascii="Times New Roman" w:hAnsi="Times New Roman" w:eastAsia="仿宋" w:cs="Times New Roman"/>
                <w:color w:val="auto"/>
                <w:sz w:val="24"/>
              </w:rPr>
              <w:instrText xml:space="preserve"> = 1 \* GB3 </w:instrText>
            </w:r>
            <w:r>
              <w:rPr>
                <w:rFonts w:hint="default" w:ascii="Times New Roman" w:hAnsi="Times New Roman" w:eastAsia="仿宋" w:cs="Times New Roman"/>
                <w:color w:val="auto"/>
                <w:sz w:val="24"/>
              </w:rPr>
              <w:fldChar w:fldCharType="separate"/>
            </w:r>
            <w:r>
              <w:rPr>
                <w:rFonts w:hint="default" w:ascii="Times New Roman" w:hAnsi="Times New Roman" w:eastAsia="仿宋" w:cs="Times New Roman"/>
                <w:color w:val="auto"/>
                <w:sz w:val="24"/>
              </w:rPr>
              <w:t>①</w:t>
            </w:r>
            <w:r>
              <w:rPr>
                <w:rFonts w:hint="default" w:ascii="Times New Roman" w:hAnsi="Times New Roman" w:eastAsia="仿宋" w:cs="Times New Roman"/>
                <w:color w:val="auto"/>
                <w:sz w:val="24"/>
              </w:rPr>
              <w:fldChar w:fldCharType="end"/>
            </w:r>
            <w:r>
              <w:rPr>
                <w:rFonts w:hint="default" w:ascii="Times New Roman" w:hAnsi="Times New Roman" w:eastAsia="仿宋" w:cs="Times New Roman"/>
                <w:color w:val="auto"/>
                <w:sz w:val="24"/>
              </w:rPr>
              <w:t>合理安排高噪声机械使用时间，避免在中午期间进行高噪声施工作业。</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②尽量采用较先进、噪声较低的施工设备；对噪声较大的施工机械采取适当的隔声措施，离付堂村及万畈村居民点较近的一侧施工区域应设置围障。</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③对动力机械设备定期进行维修和养护，使其保持良好的运行工况。避免因松动部件振动或消声器损坏而加大设备工作时的声级。</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④运输车辆在进入施工区附近区域后，要适当降低车速，避免或杜绝鸣笛。</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建设单位在施工期应严格控制噪声源，不得超过《建筑施工场界环境噪声排放标准》（GB12523-2011）所列标准值。</w:t>
            </w:r>
          </w:p>
          <w:p>
            <w:pPr>
              <w:spacing w:line="360" w:lineRule="auto"/>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交通运输噪声控制措施：</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①尽量采用低噪声机械设备，施工过程中应经常对设备进行维修保养，避免由于设备故障而导致噪声增强现象的发生。</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本工程施工噪声影响主要体现在改建进场道路对沿线居民的影响。夜间施工噪声较大，对敏感点影响明显，因此夜间（22：00~6：00）不施工，不存在夜间施工噪声影响，可以保证敏感点居民夜间睡眠所需的声环境质量。午休时间（中午12：00~1：30）应暂停作业，避免影响附近居民的午间休息。</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③利用进场道路进行施工物料运输时，注意调整运输时间，尽量在白天运输，且不在午休时间运输。在途径居民敏感点时，应减速慢行，禁止鸣笛。</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④施工单位在施工现场张贴通告和投诉电话，争取得到当地群众的理解和支持，建设单位在接到投诉后应及时与当地环保部门联系，以便及时处理各种环境纠纷。</w:t>
            </w:r>
          </w:p>
          <w:p>
            <w:pPr>
              <w:spacing w:line="360" w:lineRule="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5、水土流失防治措施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（1）风电机组防治区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①工程措施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I、土地整治</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施工结束后，对风电机区除风机塔筒及箱式变压器外其它开挖区域进行全面整地，对板结的土地进行翻松。</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II、植生袋挡墙</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于风机基本沿山脊布置，风机区主要为全平台式和半削坡式，主体工程对易产生滑坡、坍塌的边坡设置了浆砌石挡墙；对于土质较好区域的风机区的下边坡，补充设置植生袋挡墙，挡墙码放为梯形断面，顶宽60cm，高62cm，底宽180cm。</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III、挡水土埂</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为防止风机平台受水力侵蚀，在风机平台外延一圈设置高30cm的挡水土埂，土埂埂底宽0.6m，每处风机平台修建挡水土埂180m。</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IV、浆砌石排水沟</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为减少风机吊装平台被雨水冲刷，在风机上坡侧依山势设置排水沟，以拦截和排除周围山坡汇水面内的地表水，排水沟收集周围汇水后顺势排入周围自然沟渠。排水沟横断面尺寸为矩形，宽×深=0.5m×0.5m，浆砌石厚25cm，沟底留有不小于0.3%的纵向坡度。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同时，设置风机平台纵向浆砌石排水沟，宽×深=0.5m×0.5m，浆砌石厚0.25m。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②植物措施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考虑风机区剥离的表土工程量，待施工结束后对风电机区除风机及箱式变压器外 部分临时占地部分区域撒播草籽进行植被恢复。</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通过对项目区的气候、土壤、地形等因素的综合分析，本工程弃渣点植物措施选择易成活，生长期长，适应性强的当地优势草种。推荐采用三叶草。在春季（或秋季）采用全面整地方式，深耕 10～20cm，撒播三叶草草籽，草籽选择颗粒饱满的种子，播种深度1～2cm，播撒密度为 80kg/hm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③临时措施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I、表土临时防护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剥离的表土临时堆放在风机安装场地，表土周围用编织袋装土拦挡，表层用苫布遮盖，编织袋挡墙断面为矩形，宽×高=0.6m×0.8m，拦挡高度 0.8m。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II、临时堆土防护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主体工程建设过程中，风机安装平台基坑回填土需要临时堆置，对临时堆土采取编织袋装土拦挡结合苫布遮盖措施。编织袋挡墙断面为梯形，上顶边×下底边×高=0.6m×1.8m×1.2m。施工结束后，对编织袋进行拆除。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III、临时排水沟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在工程施工期间，为将场区雨水及时排走，本工程单个山顶风电机组区需修临时排水沟20m，断面为梯形，上顶边×下底边×高=0.9m×0.3m×0.3m，边坡1:1，临时排水沟末端设置沉沙池。</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（2）道路区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①工程措施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在施工结束后扣除道路两侧挡墙、护坡、排水等工程永久占地，其余1.0m路面恢复植被，对板结的土地进行翻松，用于恢复植被。</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②植生基质生态防护措施（PMS 技术）护坡</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对以沙石质为主的挖方边坡采取植生基质生态防护措施（PMS 技术），边坡坡率采用1:1～1:1.25。进场道路该类型挖方边坡长12m，边坡高3m～5m。进场道路区植生基质生态防护措施（PMS 技术）护坡共计50m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③防冲措施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为了消除道路排水沟内雨水对受纳水体的冲刷，在道路排水沟沟口设置，在沟头与涵管连接处修建消力池，在涵管另一侧与自然径流衔接处采用浆砌石护坡。</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④植物措施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道路两侧：道路硬化后，对道路两侧各0.5m范围播撒草籽对该区域进行绿化，草籽选择三叶草，撒播量80kg/hm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 xml:space="preserve">。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⑤临时措施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I、表土临时防护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在道路施工前，先将部分表层熟土进行剥离保护，用于施工完毕后道路两侧绿化用土，剥离厚度为20cm，单独堆放，表层用苫布覆盖，在施工结束后，覆于植被恢复区。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II、临时堆土防护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施工过程中临时堆土主要为少量的施工余土，对临时堆土场需采取必要的防治措施，堆土堆放在道路一侧，采用苫布进行苫盖。考虑到 施工土方为动态过程，苫布可循环使用。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III、临时排水沟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对道路施工区局部低洼地段应作好临时性排水工程，本工程需修临时排水沟220m，断面为上顶宽0.9m，下底宽0.3m，深0.3m，边坡1:1，临时排水沟末端设置沉沙池。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IV、浆砌石截排水沟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主体在坡脚设置了浆砌石排水沟，排水沟宽0.5m，深0.5m，浆砌石厚25cm，沟底比降3%。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（3）直埋电缆区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①工程措施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施工结束后对电缆扰动区域进行土地整治，对板结的土地进行翻松。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②植物措施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施工结束后对该区采取土地整治措施并撒播草籽进行植被恢复。草籽选择三叶草，撒播量80kg/hm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 xml:space="preserve">。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③临时措施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I、表土剥离防护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电缆沟施工时将剥离的表土和沟道开挖的土方临时堆置在电缆沟一侧，表土堆放在下部，开挖沟道的土方堆放在上部，两类土之间用苫布隔离，回填时自上而下依次回填，电缆分段施工。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II、临时堆土拦挡 </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电缆沟施工时开挖的土方临时堆置在电缆沟一侧，开挖沟道的土方堆放在表土上部，堆土外侧采取编织袋拦挡措施，表层用苫布直接遮盖，电缆分段施工。</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（4）</w:t>
            </w:r>
            <w:r>
              <w:rPr>
                <w:rFonts w:hint="eastAsia" w:eastAsia="仿宋" w:cs="Times New Roman"/>
                <w:bCs/>
                <w:color w:val="auto"/>
                <w:spacing w:val="10"/>
                <w:sz w:val="24"/>
                <w:lang w:eastAsia="zh-CN"/>
              </w:rPr>
              <w:t>施工生产生活区</w:t>
            </w:r>
            <w:r>
              <w:rPr>
                <w:rFonts w:hint="default" w:ascii="Times New Roman" w:hAnsi="Times New Roman" w:eastAsia="仿宋" w:cs="Times New Roman"/>
                <w:bCs/>
                <w:color w:val="auto"/>
                <w:spacing w:val="10"/>
                <w:sz w:val="24"/>
              </w:rPr>
              <w:t xml:space="preserve">和升压站区 </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①工程措施</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施工结束后对</w:t>
            </w:r>
            <w:r>
              <w:rPr>
                <w:rFonts w:hint="eastAsia" w:eastAsia="仿宋" w:cs="Times New Roman"/>
                <w:bCs/>
                <w:color w:val="auto"/>
                <w:spacing w:val="10"/>
                <w:sz w:val="24"/>
                <w:lang w:eastAsia="zh-CN"/>
              </w:rPr>
              <w:t>施工生产生活区</w:t>
            </w:r>
            <w:r>
              <w:rPr>
                <w:rFonts w:hint="default" w:ascii="Times New Roman" w:hAnsi="Times New Roman" w:eastAsia="仿宋" w:cs="Times New Roman"/>
                <w:bCs/>
                <w:color w:val="auto"/>
                <w:spacing w:val="10"/>
                <w:sz w:val="24"/>
              </w:rPr>
              <w:t>占地进行土地整治，对板结的土地进行翻松，将剥离的表土覆在表层，利于进行恢复植被。</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 xml:space="preserve">②植物措施 </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 xml:space="preserve">施工过程中：在施工生活区和生产区衔接地带设置长50m、宽2m的植物篱，一方面增加美观，另一方面方便功能分区，植物篱苗木的选取结合施工完毕后植被恢复的种类，选用胡枝子灌木，栽植密度株距×行距=0.5m×0.5m，共需胡枝子灌木200株。 </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施工完毕后：考虑当地气候环境，</w:t>
            </w:r>
            <w:r>
              <w:rPr>
                <w:rFonts w:hint="eastAsia" w:eastAsia="仿宋" w:cs="Times New Roman"/>
                <w:bCs/>
                <w:color w:val="auto"/>
                <w:spacing w:val="10"/>
                <w:sz w:val="24"/>
                <w:lang w:eastAsia="zh-CN"/>
              </w:rPr>
              <w:t>施工生产生活区</w:t>
            </w:r>
            <w:r>
              <w:rPr>
                <w:rFonts w:hint="default" w:ascii="Times New Roman" w:hAnsi="Times New Roman" w:eastAsia="仿宋" w:cs="Times New Roman"/>
                <w:bCs/>
                <w:color w:val="auto"/>
                <w:spacing w:val="10"/>
                <w:sz w:val="24"/>
              </w:rPr>
              <w:t>采取灌草结合方式，不栽植乔木。灌木选择播撒胡枝子灌木种子，草种选择三叶草草籽，撒播面积0.50hm</w:t>
            </w:r>
            <w:r>
              <w:rPr>
                <w:rFonts w:hint="default" w:ascii="Times New Roman" w:hAnsi="Times New Roman" w:eastAsia="仿宋" w:cs="Times New Roman"/>
                <w:bCs/>
                <w:color w:val="auto"/>
                <w:spacing w:val="10"/>
                <w:sz w:val="24"/>
                <w:vertAlign w:val="superscript"/>
              </w:rPr>
              <w:t>2</w:t>
            </w:r>
            <w:r>
              <w:rPr>
                <w:rFonts w:hint="default" w:ascii="Times New Roman" w:hAnsi="Times New Roman" w:eastAsia="仿宋" w:cs="Times New Roman"/>
                <w:bCs/>
                <w:color w:val="auto"/>
                <w:spacing w:val="10"/>
                <w:sz w:val="24"/>
              </w:rPr>
              <w:t>，播种量为80kg/hm</w:t>
            </w:r>
            <w:r>
              <w:rPr>
                <w:rFonts w:hint="default" w:ascii="Times New Roman" w:hAnsi="Times New Roman" w:eastAsia="仿宋" w:cs="Times New Roman"/>
                <w:bCs/>
                <w:color w:val="auto"/>
                <w:spacing w:val="10"/>
                <w:sz w:val="24"/>
                <w:vertAlign w:val="superscript"/>
              </w:rPr>
              <w:t>2</w:t>
            </w:r>
            <w:r>
              <w:rPr>
                <w:rFonts w:hint="default" w:ascii="Times New Roman" w:hAnsi="Times New Roman" w:eastAsia="仿宋" w:cs="Times New Roman"/>
                <w:bCs/>
                <w:color w:val="auto"/>
                <w:spacing w:val="10"/>
                <w:sz w:val="24"/>
              </w:rPr>
              <w:t xml:space="preserve">。 </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 xml:space="preserve">③临时措施 </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 xml:space="preserve">I、表土临时防护 </w:t>
            </w:r>
          </w:p>
          <w:p>
            <w:pPr>
              <w:spacing w:line="360" w:lineRule="auto"/>
              <w:ind w:firstLine="520" w:firstLineChars="200"/>
              <w:rPr>
                <w:rFonts w:hint="default" w:ascii="Times New Roman" w:hAnsi="Times New Roman" w:eastAsia="仿宋" w:cs="Times New Roman"/>
                <w:bCs/>
                <w:color w:val="auto"/>
                <w:spacing w:val="10"/>
                <w:sz w:val="24"/>
              </w:rPr>
            </w:pPr>
            <w:r>
              <w:rPr>
                <w:rFonts w:hint="eastAsia" w:eastAsia="仿宋" w:cs="Times New Roman"/>
                <w:bCs/>
                <w:color w:val="auto"/>
                <w:spacing w:val="10"/>
                <w:sz w:val="24"/>
                <w:lang w:eastAsia="zh-CN"/>
              </w:rPr>
              <w:t>施工生产生活区</w:t>
            </w:r>
            <w:r>
              <w:rPr>
                <w:rFonts w:hint="default" w:ascii="Times New Roman" w:hAnsi="Times New Roman" w:eastAsia="仿宋" w:cs="Times New Roman"/>
                <w:bCs/>
                <w:color w:val="auto"/>
                <w:spacing w:val="10"/>
                <w:sz w:val="24"/>
              </w:rPr>
              <w:t xml:space="preserve">场地平整时将其扰动土方范围内可利用的表土剥离、集中堆放于项目占地范围内暂不扰动的区域，表层用苫布覆盖，以备后期绿化覆土使用。施工生产生活区表土边缘采用编织袋装土拦挡，其余土方堆砌其中，然后在表面覆盖一层防水苫布覆盖。 </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 xml:space="preserve">II、临时排水沟 </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临时排水沟断面为梯形，上底宽0.9m，下底宽0.3m，深0.3m，边坡1:1，临时排水沟末端设置沉沙池，</w:t>
            </w:r>
            <w:r>
              <w:rPr>
                <w:rFonts w:hint="eastAsia" w:eastAsia="仿宋" w:cs="Times New Roman"/>
                <w:bCs/>
                <w:color w:val="auto"/>
                <w:spacing w:val="10"/>
                <w:sz w:val="24"/>
                <w:lang w:eastAsia="zh-CN"/>
              </w:rPr>
              <w:t>施工生产生活区</w:t>
            </w:r>
            <w:r>
              <w:rPr>
                <w:rFonts w:hint="default" w:ascii="Times New Roman" w:hAnsi="Times New Roman" w:eastAsia="仿宋" w:cs="Times New Roman"/>
                <w:bCs/>
                <w:color w:val="auto"/>
                <w:spacing w:val="10"/>
                <w:sz w:val="24"/>
              </w:rPr>
              <w:t>设临时排水沟200m。</w:t>
            </w:r>
          </w:p>
          <w:p>
            <w:pPr>
              <w:spacing w:line="360" w:lineRule="auto"/>
              <w:rPr>
                <w:rFonts w:hint="default" w:ascii="Times New Roman" w:hAnsi="Times New Roman" w:eastAsia="仿宋" w:cs="Times New Roman"/>
                <w:b/>
                <w:bCs w:val="0"/>
                <w:color w:val="auto"/>
                <w:spacing w:val="10"/>
                <w:sz w:val="24"/>
              </w:rPr>
            </w:pPr>
            <w:r>
              <w:rPr>
                <w:rFonts w:hint="eastAsia" w:eastAsia="仿宋" w:cs="Times New Roman"/>
                <w:b/>
                <w:bCs w:val="0"/>
                <w:color w:val="auto"/>
                <w:spacing w:val="10"/>
                <w:sz w:val="24"/>
                <w:lang w:val="en-US" w:eastAsia="zh-CN"/>
              </w:rPr>
              <w:t>6</w:t>
            </w:r>
            <w:r>
              <w:rPr>
                <w:rFonts w:hint="default" w:ascii="Times New Roman" w:hAnsi="Times New Roman" w:eastAsia="仿宋" w:cs="Times New Roman"/>
                <w:b/>
                <w:bCs w:val="0"/>
                <w:color w:val="auto"/>
                <w:spacing w:val="10"/>
                <w:sz w:val="24"/>
              </w:rPr>
              <w:t>、固体废物污染防治</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（1）生活垃圾</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施工期间施工人员产生的生活垃圾经施工营地设置的垃圾桶集中收集后统一清运处理。</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（2）土石方</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本工程无永久弃方产生。</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（3）建筑垃圾</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施工期产生的建筑垃圾主要为建筑废弃料、安装材料边角料、废包装材料等，建筑废弃料等可回收利用的回用于回填风电场区域内检修道路，不可回收的安装边角料、废包装材料等建筑垃圾集中收集至临时垃圾收集点后统一清运处理。</w:t>
            </w:r>
          </w:p>
          <w:p>
            <w:pPr>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53" w:type="dxa"/>
            <w:tcMar>
              <w:left w:w="28" w:type="dxa"/>
              <w:right w:w="28" w:type="dxa"/>
            </w:tcMar>
            <w:vAlign w:val="center"/>
          </w:tcPr>
          <w:p>
            <w:pPr>
              <w:adjustRightInd w:val="0"/>
              <w:snapToGrid w:val="0"/>
              <w:jc w:val="center"/>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运营期生态环境保护措施</w:t>
            </w:r>
          </w:p>
        </w:tc>
        <w:tc>
          <w:tcPr>
            <w:tcW w:w="8457" w:type="dxa"/>
          </w:tcPr>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1、生态环境保护措施</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（1）提高鸟类对风电机和输电线的注意力。在风电机的叶片，涂上反射紫外线涂层，或采用鲜艳颜色，如红色、橙色等与白色相间的警示色。提高鸟类的注意力。避免鸟类撞击风机。</w:t>
            </w:r>
            <w:r>
              <w:rPr>
                <w:rFonts w:hint="default" w:ascii="Times New Roman" w:hAnsi="Times New Roman" w:eastAsia="仿宋" w:cs="Times New Roman"/>
                <w:color w:val="auto"/>
                <w:sz w:val="24"/>
              </w:rPr>
              <w:t>根据鸟类的视觉特征，将输电线路导线设置成对鸟类具有警示作用的颜色（红色或黄色），提醒鸟类对障碍物的识别，减少碰撞几率。</w:t>
            </w:r>
          </w:p>
          <w:tbl>
            <w:tblPr>
              <w:tblStyle w:val="22"/>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1" w:type="dxa"/>
                  <w:gridSpan w:val="2"/>
                </w:tcPr>
                <w:p>
                  <w:pPr>
                    <w:pStyle w:val="29"/>
                    <w:ind w:firstLine="0"/>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4678680" cy="2598420"/>
                        <wp:effectExtent l="0" t="0" r="7620" b="1143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9"/>
                                <a:stretch>
                                  <a:fillRect/>
                                </a:stretch>
                              </pic:blipFill>
                              <pic:spPr>
                                <a:xfrm>
                                  <a:off x="0" y="0"/>
                                  <a:ext cx="4678680" cy="2598420"/>
                                </a:xfrm>
                                <a:prstGeom prst="rect">
                                  <a:avLst/>
                                </a:prstGeom>
                                <a:noFill/>
                                <a:ln>
                                  <a:noFill/>
                                </a:ln>
                              </pic:spPr>
                            </pic:pic>
                          </a:graphicData>
                        </a:graphic>
                      </wp:inline>
                    </w:drawing>
                  </w:r>
                </w:p>
                <w:p>
                  <w:pPr>
                    <w:pStyle w:val="29"/>
                    <w:ind w:firstLine="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风机警戒色布置示意图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0" w:type="dxa"/>
                </w:tcPr>
                <w:p>
                  <w:pPr>
                    <w:pStyle w:val="29"/>
                    <w:ind w:firstLine="0"/>
                    <w:jc w:val="center"/>
                    <w:rPr>
                      <w:rFonts w:hint="default" w:ascii="Times New Roman" w:hAnsi="Times New Roman" w:eastAsia="仿宋" w:cs="Times New Roman"/>
                      <w:color w:val="auto"/>
                    </w:rPr>
                  </w:pPr>
                </w:p>
                <w:p>
                  <w:pPr>
                    <w:pStyle w:val="29"/>
                    <w:ind w:firstLine="0"/>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2552065" cy="1630680"/>
                        <wp:effectExtent l="0" t="0" r="635" b="762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0"/>
                                <a:stretch>
                                  <a:fillRect/>
                                </a:stretch>
                              </pic:blipFill>
                              <pic:spPr>
                                <a:xfrm>
                                  <a:off x="0" y="0"/>
                                  <a:ext cx="2552065" cy="1630680"/>
                                </a:xfrm>
                                <a:prstGeom prst="rect">
                                  <a:avLst/>
                                </a:prstGeom>
                                <a:noFill/>
                                <a:ln>
                                  <a:noFill/>
                                </a:ln>
                              </pic:spPr>
                            </pic:pic>
                          </a:graphicData>
                        </a:graphic>
                      </wp:inline>
                    </w:drawing>
                  </w:r>
                </w:p>
                <w:p>
                  <w:pPr>
                    <w:pStyle w:val="29"/>
                    <w:ind w:firstLine="0"/>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sz w:val="21"/>
                      <w:szCs w:val="21"/>
                    </w:rPr>
                    <w:t>集电线路绝缘保护套安装示意图</w:t>
                  </w:r>
                </w:p>
              </w:tc>
              <w:tc>
                <w:tcPr>
                  <w:tcW w:w="4121" w:type="dxa"/>
                </w:tcPr>
                <w:p>
                  <w:pPr>
                    <w:pStyle w:val="29"/>
                    <w:ind w:firstLine="0"/>
                    <w:jc w:val="center"/>
                    <w:rPr>
                      <w:rFonts w:hint="default" w:ascii="Times New Roman" w:hAnsi="Times New Roman" w:eastAsia="仿宋" w:cs="Times New Roman"/>
                      <w:color w:val="auto"/>
                    </w:rPr>
                  </w:pPr>
                </w:p>
                <w:p>
                  <w:pPr>
                    <w:pStyle w:val="29"/>
                    <w:ind w:firstLine="0"/>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2467610" cy="1650365"/>
                        <wp:effectExtent l="0" t="0" r="8890" b="698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1"/>
                                <a:stretch>
                                  <a:fillRect/>
                                </a:stretch>
                              </pic:blipFill>
                              <pic:spPr>
                                <a:xfrm>
                                  <a:off x="0" y="0"/>
                                  <a:ext cx="2467610" cy="1650365"/>
                                </a:xfrm>
                                <a:prstGeom prst="rect">
                                  <a:avLst/>
                                </a:prstGeom>
                                <a:noFill/>
                                <a:ln>
                                  <a:noFill/>
                                </a:ln>
                              </pic:spPr>
                            </pic:pic>
                          </a:graphicData>
                        </a:graphic>
                      </wp:inline>
                    </w:drawing>
                  </w:r>
                </w:p>
                <w:p>
                  <w:pPr>
                    <w:pStyle w:val="29"/>
                    <w:ind w:firstLine="0"/>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sz w:val="21"/>
                      <w:szCs w:val="21"/>
                    </w:rPr>
                    <w:t>集电线路绝缘保护套安装示意图</w:t>
                  </w:r>
                </w:p>
              </w:tc>
            </w:tr>
          </w:tbl>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2）加强监测，科学管理营运。本项目运营3年内，聘请鸟类观测人员，观测风机区的鸟类数量，因风机致死的鸟类种类和数量。根据3年内监测的结果，对风机运行时间进行调整。对致死的鸟类数量较大的风机，要进行关停。致死数量少的，也要在鸟类迁徙高峰季节或大风大雾天气时段适时关闭风机，尽量减少对鸟类的影响。</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（3）加强野生动物救护。在升压站等区域配套设立野生动物救护站、点，以便于及时对受伤的野生动物进行救治</w:t>
            </w:r>
          </w:p>
          <w:p>
            <w:pPr>
              <w:adjustRightInd w:val="0"/>
              <w:snapToGrid w:val="0"/>
              <w:spacing w:line="360" w:lineRule="auto"/>
              <w:ind w:firstLine="52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pacing w:val="10"/>
                <w:sz w:val="24"/>
              </w:rPr>
              <w:t>（4）恢复和改善重点保护野生动物环颈雉等的栖息地环境，并开展定期的重点保护野生动物及生境调查监测与研究。保护自然植被，防止因工程施工对植被可能出现的破坏，并通过加快植树造林，尽快恢复工程临时占用的林地，从根本上减缓工程建设对野生动物栖息地的影响。</w:t>
            </w:r>
          </w:p>
          <w:p>
            <w:pPr>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2、大气环境保护措施</w:t>
            </w:r>
          </w:p>
          <w:p>
            <w:pPr>
              <w:spacing w:line="360" w:lineRule="auto"/>
              <w:ind w:firstLine="48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color w:val="auto"/>
                <w:sz w:val="24"/>
              </w:rPr>
              <w:t>本项目运行期主要废气为食堂油烟，产生量为3.10kg/a，浓度为4mg/m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。建设单位应设置处理效率不低于60%的油烟净化器，排放浓度小于2mg/m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。处理后油烟排放量为1.24kg/a，净化设施处理效率及油烟排放浓度满足《饮食业油烟排放标准（试行）》（GB18483-2001）小型规模要求，项目油烟排放对周边环境影响不大。</w:t>
            </w:r>
          </w:p>
          <w:p>
            <w:pPr>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3、水污染防治措施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本项目升压站内拟设置隔油池、化粪池+地埋式一体化污水处理设备对生活污水进行处理。生活污水经处理后满足《农田灌溉水质标准》（GB5084-2021）中</w:t>
            </w:r>
            <w:r>
              <w:rPr>
                <w:rFonts w:hint="eastAsia" w:eastAsia="仿宋" w:cs="Times New Roman"/>
                <w:color w:val="auto"/>
                <w:sz w:val="24"/>
                <w:lang w:val="en-US" w:eastAsia="zh-CN"/>
              </w:rPr>
              <w:t>旱地作物</w:t>
            </w:r>
            <w:r>
              <w:rPr>
                <w:rFonts w:hint="default" w:ascii="Times New Roman" w:hAnsi="Times New Roman" w:eastAsia="仿宋" w:cs="Times New Roman"/>
                <w:color w:val="auto"/>
                <w:sz w:val="24"/>
              </w:rPr>
              <w:t>标准</w:t>
            </w:r>
            <w:r>
              <w:rPr>
                <w:rFonts w:hint="eastAsia" w:eastAsia="仿宋" w:cs="Times New Roman"/>
                <w:color w:val="auto"/>
                <w:sz w:val="24"/>
                <w:lang w:eastAsia="zh-CN"/>
              </w:rPr>
              <w:t>（</w:t>
            </w:r>
            <w:r>
              <w:rPr>
                <w:rFonts w:hint="default" w:ascii="Times New Roman" w:hAnsi="Times New Roman" w:eastAsia="仿宋" w:cs="Times New Roman"/>
                <w:color w:val="auto"/>
                <w:sz w:val="24"/>
              </w:rPr>
              <w:t>即BOD</w:t>
            </w:r>
            <w:r>
              <w:rPr>
                <w:rFonts w:hint="default" w:ascii="Times New Roman" w:hAnsi="Times New Roman" w:eastAsia="仿宋" w:cs="Times New Roman"/>
                <w:color w:val="auto"/>
                <w:sz w:val="24"/>
                <w:vertAlign w:val="subscript"/>
              </w:rPr>
              <w:t>5</w:t>
            </w:r>
            <w:r>
              <w:rPr>
                <w:rFonts w:hint="default" w:ascii="Times New Roman" w:hAnsi="Times New Roman" w:eastAsia="仿宋" w:cs="Times New Roman"/>
                <w:color w:val="auto"/>
                <w:sz w:val="24"/>
              </w:rPr>
              <w:t>&lt;</w:t>
            </w:r>
            <w:r>
              <w:rPr>
                <w:rFonts w:hint="eastAsia" w:eastAsia="仿宋" w:cs="Times New Roman"/>
                <w:color w:val="auto"/>
                <w:sz w:val="24"/>
                <w:lang w:val="en-US" w:eastAsia="zh-CN"/>
              </w:rPr>
              <w:t>100</w:t>
            </w:r>
            <w:r>
              <w:rPr>
                <w:rFonts w:hint="default" w:ascii="Times New Roman" w:hAnsi="Times New Roman" w:eastAsia="仿宋" w:cs="Times New Roman"/>
                <w:color w:val="auto"/>
                <w:sz w:val="24"/>
              </w:rPr>
              <w:t>mg/L、</w:t>
            </w:r>
            <w:r>
              <w:rPr>
                <w:rFonts w:hint="eastAsia" w:eastAsia="仿宋" w:cs="Times New Roman"/>
                <w:color w:val="auto"/>
                <w:sz w:val="24"/>
                <w:lang w:val="en-US" w:eastAsia="zh-CN"/>
              </w:rPr>
              <w:t>SS</w:t>
            </w:r>
            <w:r>
              <w:rPr>
                <w:rFonts w:hint="default" w:ascii="Times New Roman" w:hAnsi="Times New Roman" w:eastAsia="仿宋" w:cs="Times New Roman"/>
                <w:color w:val="auto"/>
                <w:sz w:val="24"/>
              </w:rPr>
              <w:t>&lt;</w:t>
            </w:r>
            <w:r>
              <w:rPr>
                <w:rFonts w:hint="eastAsia" w:eastAsia="仿宋" w:cs="Times New Roman"/>
                <w:color w:val="auto"/>
                <w:sz w:val="24"/>
                <w:lang w:val="en-US" w:eastAsia="zh-CN"/>
              </w:rPr>
              <w:t>100</w:t>
            </w:r>
            <w:r>
              <w:rPr>
                <w:rFonts w:hint="default" w:ascii="Times New Roman" w:hAnsi="Times New Roman" w:eastAsia="仿宋" w:cs="Times New Roman"/>
                <w:color w:val="auto"/>
                <w:sz w:val="24"/>
              </w:rPr>
              <w:t>mg/L</w:t>
            </w:r>
            <w:r>
              <w:rPr>
                <w:rFonts w:hint="eastAsia" w:eastAsia="仿宋" w:cs="Times New Roman"/>
                <w:color w:val="auto"/>
                <w:sz w:val="24"/>
                <w:lang w:eastAsia="zh-CN"/>
              </w:rPr>
              <w:t>）</w:t>
            </w:r>
            <w:r>
              <w:rPr>
                <w:rFonts w:hint="default" w:ascii="Times New Roman" w:hAnsi="Times New Roman" w:eastAsia="仿宋" w:cs="Times New Roman"/>
                <w:color w:val="auto"/>
                <w:sz w:val="24"/>
              </w:rPr>
              <w:t>。</w:t>
            </w:r>
          </w:p>
          <w:p>
            <w:pPr>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4、噪声控制措施</w:t>
            </w:r>
          </w:p>
          <w:p>
            <w:pPr>
              <w:spacing w:line="360" w:lineRule="auto"/>
              <w:ind w:firstLine="480" w:firstLineChars="200"/>
              <w:rPr>
                <w:rFonts w:hint="default" w:ascii="Times New Roman" w:hAnsi="Times New Roman" w:eastAsia="仿宋" w:cs="Times New Roman"/>
                <w:color w:val="auto"/>
                <w:sz w:val="24"/>
                <w:lang w:val="en-US" w:eastAsia="zh-CN"/>
              </w:rPr>
            </w:pPr>
            <w:r>
              <w:rPr>
                <w:rFonts w:hint="eastAsia" w:eastAsia="仿宋" w:cs="Times New Roman"/>
                <w:color w:val="auto"/>
                <w:sz w:val="24"/>
                <w:lang w:eastAsia="zh-CN"/>
              </w:rPr>
              <w:t>（</w:t>
            </w:r>
            <w:r>
              <w:rPr>
                <w:rFonts w:hint="eastAsia" w:eastAsia="仿宋" w:cs="Times New Roman"/>
                <w:color w:val="auto"/>
                <w:sz w:val="24"/>
                <w:lang w:val="en-US" w:eastAsia="zh-CN"/>
              </w:rPr>
              <w:t>1</w:t>
            </w:r>
            <w:r>
              <w:rPr>
                <w:rFonts w:hint="eastAsia" w:eastAsia="仿宋" w:cs="Times New Roman"/>
                <w:color w:val="auto"/>
                <w:sz w:val="24"/>
                <w:lang w:eastAsia="zh-CN"/>
              </w:rPr>
              <w:t>）</w:t>
            </w:r>
            <w:r>
              <w:rPr>
                <w:rFonts w:hint="eastAsia" w:eastAsia="仿宋" w:cs="Times New Roman"/>
                <w:color w:val="auto"/>
                <w:sz w:val="24"/>
                <w:lang w:val="en-US" w:eastAsia="zh-CN"/>
              </w:rPr>
              <w:t>风力发电机组</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风电场范围内有居民分布，为了降低运行期风机噪声对周边居民的影响，本评价建议建设单位应采取以下措施：</w:t>
            </w:r>
          </w:p>
          <w:p>
            <w:pPr>
              <w:pStyle w:val="54"/>
              <w:spacing w:line="360" w:lineRule="auto"/>
              <w:ind w:firstLine="480"/>
              <w:jc w:val="both"/>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A、技术上</w:t>
            </w:r>
          </w:p>
          <w:p>
            <w:pPr>
              <w:pStyle w:val="54"/>
              <w:spacing w:line="360" w:lineRule="auto"/>
              <w:ind w:firstLine="480"/>
              <w:jc w:val="both"/>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选用</w:t>
            </w:r>
            <w:r>
              <w:rPr>
                <w:rFonts w:hint="eastAsia" w:eastAsia="仿宋" w:cs="Times New Roman"/>
                <w:color w:val="auto"/>
                <w:szCs w:val="24"/>
                <w:lang w:val="en-US" w:eastAsia="zh-CN"/>
              </w:rPr>
              <w:t>风机噪声源强不高于106dB（A）</w:t>
            </w:r>
            <w:r>
              <w:rPr>
                <w:rFonts w:hint="default" w:ascii="Times New Roman" w:hAnsi="Times New Roman" w:eastAsia="仿宋" w:cs="Times New Roman"/>
                <w:color w:val="auto"/>
                <w:szCs w:val="24"/>
              </w:rPr>
              <w:t>，风机厂商在制造时对风机采取以下措施：风电机选用隔音防震型，变速齿轮箱为减噪型，机舱内表面贴覆阻尼隔声材料，叶片用减速叶片。提高安装精度，加强运行期管理，使齿轮和轴承保持良好的润滑条件。建设单位采购设备时选用低噪声设备具有可行性。</w:t>
            </w:r>
          </w:p>
          <w:p>
            <w:pPr>
              <w:pStyle w:val="54"/>
              <w:spacing w:line="360" w:lineRule="auto"/>
              <w:ind w:firstLine="480"/>
              <w:jc w:val="both"/>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B、管理上</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建设单位在项目运行过程中进一步加强与风电场周边当地居民的沟通，并开展噪声跟踪监测，如出现居民点噪声超标，及时采取相应的减缓措施或者搬迁。</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风力发电机基座</w:t>
            </w:r>
            <w:r>
              <w:rPr>
                <w:rFonts w:hint="eastAsia" w:eastAsia="仿宋" w:cs="Times New Roman"/>
                <w:color w:val="auto"/>
                <w:sz w:val="24"/>
                <w:lang w:eastAsia="zh-CN"/>
              </w:rPr>
              <w:t>510m</w:t>
            </w:r>
            <w:r>
              <w:rPr>
                <w:rFonts w:hint="default" w:ascii="Times New Roman" w:hAnsi="Times New Roman" w:eastAsia="仿宋" w:cs="Times New Roman"/>
                <w:color w:val="auto"/>
                <w:sz w:val="24"/>
              </w:rPr>
              <w:t>范围内不宜新建居民区、学校等</w:t>
            </w:r>
            <w:r>
              <w:rPr>
                <w:rFonts w:hint="eastAsia" w:eastAsia="仿宋" w:cs="Times New Roman"/>
                <w:color w:val="auto"/>
                <w:sz w:val="24"/>
                <w:lang w:val="en-US" w:eastAsia="zh-CN"/>
              </w:rPr>
              <w:t>声环境敏感建筑物</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（2）升压站</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优选低噪声设备，按晴天不出现电晕校验选择导线。SVG室散热小风机选用低噪声设备，室内布置，风机安装减振垫、消声器，SVG进出风口采用消声百叶，降噪量不低于10dB（A），SVG室墙壁隔声量不低于20dB（A），必要时需在墙壁内安装吸声材料，确保厂界噪声达标。</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5、固体废物控制措施</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（1）生活垃圾处置</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风电场运行期运检人员产生的生活垃圾经升压站内设置的生活垃圾收集装置集中收集后交由当地环卫部门定期清运。</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（2）生产垃圾处置</w:t>
            </w:r>
          </w:p>
          <w:p>
            <w:pPr>
              <w:adjustRightInd w:val="0"/>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润滑油：风机检修中，需在设备底部设置收集罩收集废润滑油。定期将收集罩内废泄漏油用矿物油收集桶收集，对地表残余油采用加沙清扫的方式加以处理，将收集后的废油桶、油砂用铁质密闭容器收集后存放在危险废物储存室；另外擦拭机械的棉纱采用防漏胶袋盛装后存放在危险废物储存室。根据《国家危险废物名录》，废润滑油属于危险废物，废物类别为HW08，行业来源为非特定行业，废物代码为900-217-08，危险特性均为毒性、易燃性，应交由具有相关危险废物处理资质的单位进行处理。</w:t>
            </w:r>
          </w:p>
          <w:p>
            <w:pPr>
              <w:spacing w:line="360" w:lineRule="auto"/>
              <w:ind w:firstLine="480" w:firstLineChars="200"/>
              <w:rPr>
                <w:rFonts w:hint="default" w:ascii="Times New Roman" w:hAnsi="Times New Roman" w:eastAsia="仿宋" w:cs="Times New Roman"/>
                <w:color w:val="auto"/>
                <w:sz w:val="24"/>
              </w:rPr>
            </w:pPr>
            <w:r>
              <w:rPr>
                <w:rFonts w:hint="eastAsia" w:eastAsia="仿宋" w:cs="Times New Roman"/>
                <w:color w:val="auto"/>
                <w:sz w:val="24"/>
                <w:lang w:eastAsia="zh-CN"/>
              </w:rPr>
              <w:t>110kV升压站</w:t>
            </w:r>
            <w:r>
              <w:rPr>
                <w:rFonts w:hint="default" w:ascii="Times New Roman" w:hAnsi="Times New Roman" w:eastAsia="仿宋" w:cs="Times New Roman"/>
                <w:color w:val="auto"/>
                <w:sz w:val="24"/>
              </w:rPr>
              <w:t>内主变检修或事故状态下产生的少量含油废物为危险废物，行业来源为非特定行业，危险废物类别为HW08，废物代码为900-220-08，危险特性为毒性、易燃性，应交由有相应资质的单位进行处理。</w:t>
            </w:r>
          </w:p>
          <w:p>
            <w:pPr>
              <w:wordWrap w:val="0"/>
              <w:spacing w:line="360" w:lineRule="auto"/>
              <w:ind w:firstLine="480" w:firstLineChars="200"/>
              <w:rPr>
                <w:rFonts w:hint="default" w:ascii="Times New Roman" w:hAnsi="Times New Roman" w:eastAsia="仿宋" w:cs="Times New Roman"/>
                <w:color w:val="auto"/>
                <w:sz w:val="24"/>
              </w:rPr>
            </w:pPr>
            <w:r>
              <w:rPr>
                <w:rFonts w:hint="eastAsia" w:eastAsia="仿宋" w:cs="Times New Roman"/>
                <w:color w:val="auto"/>
                <w:sz w:val="24"/>
                <w:lang w:eastAsia="zh-CN"/>
              </w:rPr>
              <w:t>110kV升压站</w:t>
            </w:r>
            <w:r>
              <w:rPr>
                <w:rFonts w:hint="default" w:ascii="Times New Roman" w:hAnsi="Times New Roman" w:eastAsia="仿宋" w:cs="Times New Roman"/>
                <w:color w:val="auto"/>
                <w:sz w:val="24"/>
              </w:rPr>
              <w:t>直流系统使用的铅酸蓄电池在运行一段时间后会失效，废铅酸蓄电池为危险废物，行业来源为非特定行业，危险废物类别为HW</w:t>
            </w:r>
            <w:r>
              <w:rPr>
                <w:rFonts w:hint="eastAsia" w:eastAsia="仿宋" w:cs="Times New Roman"/>
                <w:color w:val="auto"/>
                <w:sz w:val="24"/>
                <w:lang w:val="en-US" w:eastAsia="zh-CN"/>
              </w:rPr>
              <w:t>31</w:t>
            </w:r>
            <w:r>
              <w:rPr>
                <w:rFonts w:hint="default" w:ascii="Times New Roman" w:hAnsi="Times New Roman" w:eastAsia="仿宋" w:cs="Times New Roman"/>
                <w:color w:val="auto"/>
                <w:sz w:val="24"/>
              </w:rPr>
              <w:t>，废物代码为900-052-31，危险特性为毒性，应交由有相应资质的单位进行处理。</w:t>
            </w:r>
          </w:p>
          <w:p>
            <w:pPr>
              <w:spacing w:line="360" w:lineRule="auto"/>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建设单位在升压站内设置有专门的危废暂存间，按照《危险废物贮存污染控制标准》（GB18597-2001）及修改单要求堆放危险废物。</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危险废物在转运期间不可避免地需要在场区内停留一段时间，对于风力发电机组运行过程中产生的废润滑油，需在每台风机处设置矿物油专用收集桶收集桶各1个作为暂存装置；主变压器检修及事故情况下产生的含油废物应采用专门的容器进行收集；废润滑油及含油废物需收集放置于危废暂存间并且交由有资质的单位进行处理。</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根据《中华人民共和国固体废物污染环境防治法》及有关要求，固体废物的堆积、贮存必须采取防扬洒、防流失、防渗漏等污染防治措施，具体措施如下：</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①根据《危险废物贮存污染控制标准》（GB18597-2001）及其修改单相关要求危险废物处置间需满足以下要求：</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•危险废物贮存场、处置场必须符合国家规定标准，配套防火器材、要求废矿物油桶防渗漏。</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地面与裙脚要用坚固、防渗的材料建造；基础必须防渗，防渗层若为粘土层（渗透系数≤10</w:t>
            </w:r>
            <w:r>
              <w:rPr>
                <w:rFonts w:hint="default" w:ascii="Times New Roman" w:hAnsi="Times New Roman" w:eastAsia="仿宋" w:cs="Times New Roman"/>
                <w:color w:val="auto"/>
                <w:sz w:val="24"/>
                <w:vertAlign w:val="superscript"/>
              </w:rPr>
              <w:t>-7</w:t>
            </w:r>
            <w:r>
              <w:rPr>
                <w:rFonts w:hint="default" w:ascii="Times New Roman" w:hAnsi="Times New Roman" w:eastAsia="仿宋" w:cs="Times New Roman"/>
                <w:color w:val="auto"/>
                <w:sz w:val="24"/>
              </w:rPr>
              <w:t>cm/s），厚度至少1m；也可采用2mm厚高密度聚乙烯，或至少2mm厚的其它人工材料，渗透系数≤10</w:t>
            </w:r>
            <w:r>
              <w:rPr>
                <w:rFonts w:hint="default" w:ascii="Times New Roman" w:hAnsi="Times New Roman" w:eastAsia="仿宋" w:cs="Times New Roman"/>
                <w:color w:val="auto"/>
                <w:sz w:val="24"/>
                <w:vertAlign w:val="superscript"/>
              </w:rPr>
              <w:t>-10</w:t>
            </w:r>
            <w:r>
              <w:rPr>
                <w:rFonts w:hint="default" w:ascii="Times New Roman" w:hAnsi="Times New Roman" w:eastAsia="仿宋" w:cs="Times New Roman"/>
                <w:color w:val="auto"/>
                <w:sz w:val="24"/>
              </w:rPr>
              <w:t>cm/s。</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•储存室均需要设置照明措施。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•储存室地面必须有耐腐蚀的硬化地面，且表面无裂痕。</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•储存室应设计堵截泄漏的裙脚，地面与裙脚所围建的容积不低于堵截最大容器的最大储量或总储量的五分之一。</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②储存容器的要求：</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•项目矿物油收集桶和防漏胶袋需采用符合标准的专用收集桶。</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•收集桶和防漏胶袋材质要满足相应强度需求。</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•收集桶和防漏胶袋必须完好无损，容器材质要与矿物油互不相容。</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•各收集桶和防漏胶袋均为封闭收集。</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•收集桶内顶部与矿物油表面之间保留100mm以上空间。</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•收集桶和防漏胶袋外必须贴上危险废物标签。</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③储存措施要求：</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•公司应每一次都对回收的矿物油进行记录，记录内容包括：废油名称、来源、数量、特性和收集容器的类别、入室日期、存放地点、矿物油出室时间以及回收单位名称。</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•定期检查收集桶有无破漏、渗漏和污染，发现破损，应及时采取措施清理更换。</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④废油储存运行管理要求</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•废油每个收集桶之间必须留有搬运通道。</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•废油不能混合装在同一个收集桶内。</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•废油进桶必须检验，确保收集桶外标签与储存危废一致。</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•进入废油收集桶储存室的人员、机动车辆和作业车辆，必须采取防火措施。</w:t>
            </w:r>
          </w:p>
          <w:p>
            <w:pPr>
              <w:adjustRightInd w:val="0"/>
              <w:snapToGrid w:val="0"/>
              <w:spacing w:line="360" w:lineRule="auto"/>
              <w:ind w:firstLine="480" w:firstLineChars="200"/>
              <w:rPr>
                <w:rFonts w:hint="default" w:ascii="Times New Roman" w:hAnsi="Times New Roman" w:eastAsia="仿宋" w:cs="Times New Roman"/>
                <w:bCs/>
                <w:color w:val="auto"/>
                <w:spacing w:val="10"/>
                <w:sz w:val="24"/>
              </w:rPr>
            </w:pPr>
            <w:r>
              <w:rPr>
                <w:rFonts w:hint="default" w:ascii="Times New Roman" w:hAnsi="Times New Roman" w:eastAsia="仿宋" w:cs="Times New Roman"/>
                <w:color w:val="auto"/>
                <w:sz w:val="24"/>
              </w:rPr>
              <w:t>危险废物由有资质的单位上门回收。危险废物的转移必须按照《危险废物转移联单管理办法》相关规定执行。</w:t>
            </w:r>
          </w:p>
          <w:p>
            <w:pPr>
              <w:adjustRightInd w:val="0"/>
              <w:snapToGrid w:val="0"/>
              <w:spacing w:line="360" w:lineRule="auto"/>
              <w:rPr>
                <w:rFonts w:hint="default" w:ascii="Times New Roman" w:hAnsi="Times New Roman" w:eastAsia="仿宋" w:cs="Times New Roman"/>
                <w:b/>
                <w:bCs/>
                <w:color w:val="auto"/>
                <w:spacing w:val="10"/>
                <w:sz w:val="24"/>
              </w:rPr>
            </w:pPr>
            <w:r>
              <w:rPr>
                <w:rFonts w:hint="default" w:ascii="Times New Roman" w:hAnsi="Times New Roman" w:eastAsia="仿宋" w:cs="Times New Roman"/>
                <w:b/>
                <w:bCs/>
                <w:color w:val="auto"/>
                <w:spacing w:val="10"/>
                <w:sz w:val="24"/>
              </w:rPr>
              <w:t>6、环境风险防范措施</w:t>
            </w:r>
          </w:p>
          <w:p>
            <w:pPr>
              <w:spacing w:line="360" w:lineRule="auto"/>
              <w:ind w:firstLine="480"/>
              <w:rPr>
                <w:rFonts w:hint="default" w:ascii="Times New Roman" w:hAnsi="Times New Roman" w:eastAsia="仿宋" w:cs="Times New Roman"/>
                <w:bCs/>
                <w:color w:val="auto"/>
                <w:spacing w:val="10"/>
                <w:sz w:val="24"/>
              </w:rPr>
            </w:pPr>
            <w:r>
              <w:rPr>
                <w:rFonts w:hint="default" w:ascii="Times New Roman" w:hAnsi="Times New Roman" w:eastAsia="仿宋" w:cs="Times New Roman"/>
                <w:color w:val="auto"/>
                <w:sz w:val="24"/>
              </w:rPr>
              <w:t>本项目涉及的主要环境风险为变压器漏油。建设单位应建立相应的环境风险应急预案，应急预案内容包括：①总则；②组织体系及职责；③预警和预防机制；④应急响应；⑤后期处置；⑥保障措施等内容，若发生环境风险突发事件，应按照应急预案启动响应程序，防止事故影响扩大、对事故带来的影响进行监测分析，并及时采取有效措施消除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vAlign w:val="center"/>
          </w:tcPr>
          <w:p>
            <w:pPr>
              <w:adjustRightInd w:val="0"/>
              <w:snapToGrid w:val="0"/>
              <w:jc w:val="center"/>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z w:val="24"/>
              </w:rPr>
              <w:t>其他</w:t>
            </w:r>
          </w:p>
        </w:tc>
        <w:tc>
          <w:tcPr>
            <w:tcW w:w="8457" w:type="dxa"/>
            <w:vAlign w:val="top"/>
          </w:tcPr>
          <w:p>
            <w:pPr>
              <w:spacing w:line="360" w:lineRule="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1、环境监理及监测计划</w:t>
            </w:r>
          </w:p>
          <w:p>
            <w:pPr>
              <w:spacing w:line="360" w:lineRule="auto"/>
              <w:ind w:left="-12" w:firstLine="491" w:firstLineChars="205"/>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将环境监理工作纳入工程监理之中，每个标段应配备现场环境监理人员，以便及时发现施工中可能出现的各类生态破坏和环境污染问题。主要是：施工开始前，认真检查施工计划中是否包含有环境保护措施；根据施工日程安排，定期检查监督施工过程“三废”排放是否符合环保要求；检查监督施工过程的生态环境保护措施；检查监督其它环境保护措施和计划的实施。施工期具体监理内容及阶段性验收要求情况详见表5-2。</w:t>
            </w:r>
          </w:p>
          <w:p>
            <w:pPr>
              <w:spacing w:line="360" w:lineRule="auto"/>
              <w:jc w:val="center"/>
              <w:rPr>
                <w:rFonts w:hint="default" w:ascii="Times New Roman" w:hAnsi="Times New Roman" w:eastAsia="仿宋" w:cs="Times New Roman"/>
                <w:b/>
                <w:bCs/>
                <w:color w:val="auto"/>
                <w:sz w:val="24"/>
                <w:lang w:val="en-US" w:eastAsia="zh-CN"/>
              </w:rPr>
            </w:pPr>
            <w:r>
              <w:rPr>
                <w:rFonts w:hint="eastAsia" w:ascii="Times New Roman" w:hAnsi="Times New Roman" w:eastAsia="仿宋" w:cs="Times New Roman"/>
                <w:b/>
                <w:bCs/>
                <w:color w:val="auto"/>
                <w:sz w:val="24"/>
                <w:lang w:val="en-US" w:eastAsia="zh-CN"/>
              </w:rPr>
              <w:t>表5-2项目施工期监理内容及阶段性验收要求情况表</w:t>
            </w:r>
          </w:p>
          <w:tbl>
            <w:tblPr>
              <w:tblStyle w:val="83"/>
              <w:tblW w:w="4998" w:type="pct"/>
              <w:tblInd w:w="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18"/>
              <w:gridCol w:w="2647"/>
              <w:gridCol w:w="469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609"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时段</w:t>
                  </w:r>
                </w:p>
              </w:tc>
              <w:tc>
                <w:tcPr>
                  <w:tcW w:w="1583"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具体监理内容</w:t>
                  </w:r>
                </w:p>
              </w:tc>
              <w:tc>
                <w:tcPr>
                  <w:tcW w:w="2806"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阶段性评估要求及验收标准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9" w:hRule="atLeast"/>
              </w:trPr>
              <w:tc>
                <w:tcPr>
                  <w:tcW w:w="60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施工准备阶段</w:t>
                  </w:r>
                </w:p>
              </w:tc>
              <w:tc>
                <w:tcPr>
                  <w:tcW w:w="1583"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施工方资质，施工期环保责任书，施工期环保方案</w:t>
                  </w:r>
                </w:p>
              </w:tc>
              <w:tc>
                <w:tcPr>
                  <w:tcW w:w="2806"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设方与施工方签订环保合同，施工方具有相应资质，审核施工工艺中的“三废”排放环节，排放的主要污染物及设计中采用的治理技术是否先进，治理措施是否可行。污染物的最终处置方法和去向，应在工程前期按有关文件规定和处理要求，做好计划，审核整个工艺是否具有清洁生产的特点，并提出合理建议。</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承包单位必须遵循的环境保护有关要求应以专项条款的方式在施工承包合同中体现，并在施工过程中据此加强监督管理、检查、监测、减少施工期对环境的污染影响，同时应对施工单位的文明施工素质及施工环境管理水平进行审核。</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3" w:hRule="atLeast"/>
              </w:trPr>
              <w:tc>
                <w:tcPr>
                  <w:tcW w:w="60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施工阶段</w:t>
                  </w:r>
                </w:p>
              </w:tc>
              <w:tc>
                <w:tcPr>
                  <w:tcW w:w="1583"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施工平面布置；物料堆放；临时排水沟及沉淀池；生活污水处理装置及生活垃圾清运情况；规范作业；环境监测计划落实情况，夜间及鸟类迁徙高峰期施工情况等</w:t>
                  </w:r>
                </w:p>
              </w:tc>
              <w:tc>
                <w:tcPr>
                  <w:tcW w:w="2806"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平面布置与可研方案相符；物料在预定位置堆放，设有围挡；施工设备维护良好，操作规范；设有临时排水沟及沉淀池；风机区开挖剩余土方用于吊装平台的平整，临时弃土在规定地点堆放，表土层与下层土分别堆放，表土层最后回填在最上层；升压站建设污水处理装置，生活垃圾及时清运；施工道路两侧设置截排水沟，禁止施工废水进入附近地表水体；施工环境管理情况、无捕猎现象；按要求进行施工期环境监测。夜间禁止高噪声设施运行。</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0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施工结束后</w:t>
                  </w:r>
                </w:p>
              </w:tc>
              <w:tc>
                <w:tcPr>
                  <w:tcW w:w="1583"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场地平整情况；植被恢复情况</w:t>
                  </w:r>
                </w:p>
              </w:tc>
              <w:tc>
                <w:tcPr>
                  <w:tcW w:w="2806"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及时植被恢复</w:t>
                  </w:r>
                </w:p>
              </w:tc>
            </w:tr>
          </w:tbl>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施工人员进场后，立即进行生态保护教育。明确禁止施工人员进入候鸟群分布区，杜绝猎杀鸟类的行为。同时，严格控制车辆噪声，夜间禁止鸣笛，减少噪声对鸟类产生惊扰。本项目施工期具体的环境监理要点见表5-3。</w:t>
            </w:r>
          </w:p>
          <w:p>
            <w:pPr>
              <w:spacing w:line="360" w:lineRule="auto"/>
              <w:jc w:val="center"/>
              <w:rPr>
                <w:rFonts w:hint="default" w:ascii="Times New Roman" w:hAnsi="Times New Roman" w:eastAsia="仿宋" w:cs="Times New Roman"/>
                <w:b/>
                <w:bCs/>
                <w:color w:val="auto"/>
                <w:sz w:val="24"/>
                <w:lang w:val="en-US" w:eastAsia="zh-CN"/>
              </w:rPr>
            </w:pPr>
            <w:r>
              <w:rPr>
                <w:rFonts w:hint="eastAsia" w:ascii="Times New Roman" w:hAnsi="Times New Roman" w:eastAsia="仿宋" w:cs="Times New Roman"/>
                <w:b/>
                <w:bCs/>
                <w:color w:val="auto"/>
                <w:sz w:val="24"/>
                <w:lang w:val="en-US" w:eastAsia="zh-CN"/>
              </w:rPr>
              <w:t>表5-3 本项目环境监理要点一览表</w:t>
            </w:r>
          </w:p>
          <w:tbl>
            <w:tblPr>
              <w:tblStyle w:val="83"/>
              <w:tblW w:w="4998" w:type="pct"/>
              <w:tblInd w:w="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21"/>
              <w:gridCol w:w="1116"/>
              <w:gridCol w:w="1114"/>
              <w:gridCol w:w="500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70"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单位工程</w:t>
                  </w:r>
                </w:p>
              </w:tc>
              <w:tc>
                <w:tcPr>
                  <w:tcW w:w="667"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监理地点</w:t>
                  </w:r>
                </w:p>
              </w:tc>
              <w:tc>
                <w:tcPr>
                  <w:tcW w:w="666"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监理方法</w:t>
                  </w:r>
                </w:p>
              </w:tc>
              <w:tc>
                <w:tcPr>
                  <w:tcW w:w="2994"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监理重点及内容</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0"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风机区</w:t>
                  </w:r>
                </w:p>
              </w:tc>
              <w:tc>
                <w:tcPr>
                  <w:tcW w:w="667" w:type="pct"/>
                  <w:vAlign w:val="center"/>
                </w:tcPr>
                <w:p>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10台</w:t>
                  </w:r>
                  <w:r>
                    <w:rPr>
                      <w:rFonts w:hint="default" w:ascii="Times New Roman" w:hAnsi="Times New Roman" w:eastAsia="仿宋" w:cs="Times New Roman"/>
                      <w:color w:val="auto"/>
                      <w:szCs w:val="21"/>
                    </w:rPr>
                    <w:t>风电</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机组所在</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区域</w:t>
                  </w:r>
                </w:p>
              </w:tc>
              <w:tc>
                <w:tcPr>
                  <w:tcW w:w="666"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旁站现场监测巡视</w:t>
                  </w:r>
                </w:p>
              </w:tc>
              <w:tc>
                <w:tcPr>
                  <w:tcW w:w="2994"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现场旁站监督检查基础开挖与填筑作业范围控制情况与植被保护措施的实施情况；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巡视检查临时水保措施的实施情况；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巡视检查野生动物保护措施的落实情况；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监督发现文物的处置过程；</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现场抽测声环境敏感点的噪声达标情况；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巡视检查路基土石方的调运情况，临时弃土是否按规定堆存并及时回填；</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监督旱季洒水措施的实施情况；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监督夜间施工情况。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0"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道路区</w:t>
                  </w:r>
                </w:p>
              </w:tc>
              <w:tc>
                <w:tcPr>
                  <w:tcW w:w="667"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靠近居民点的检修道路路段</w:t>
                  </w:r>
                </w:p>
              </w:tc>
              <w:tc>
                <w:tcPr>
                  <w:tcW w:w="666"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旁站现场监测巡视</w:t>
                  </w:r>
                </w:p>
              </w:tc>
              <w:tc>
                <w:tcPr>
                  <w:tcW w:w="2994"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现场旁站监督检查路基、边坡开挖与填筑作业范围控制情况与植被保护措施的实施情况；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巡视检查临时水保措施的实施情况；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巡视检查野生动物保护措施的落实情况；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现场抽测声环境敏感路段的场界噪声达标情况；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监督旱季洒水措施的实施情况；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检查石灰等路用粉状材料运输和堆放的遮盖措施；</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检查是否尽量避开雨天施工。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eastAsia="zh-CN"/>
                    </w:rPr>
                    <w:t>施工生产生活区</w:t>
                  </w:r>
                </w:p>
              </w:tc>
              <w:tc>
                <w:tcPr>
                  <w:tcW w:w="667"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eastAsia="zh-CN"/>
                    </w:rPr>
                    <w:t>施工生产生活区</w:t>
                  </w:r>
                </w:p>
              </w:tc>
              <w:tc>
                <w:tcPr>
                  <w:tcW w:w="666"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旁站现场监测巡视</w:t>
                  </w:r>
                </w:p>
              </w:tc>
              <w:tc>
                <w:tcPr>
                  <w:tcW w:w="2994"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抽测施工生产废水的回用情况，检查隔油池、沉淀池的设置及运转情况；</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现场抽测场界噪声达标情况。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0"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集电线路区</w:t>
                  </w:r>
                </w:p>
              </w:tc>
              <w:tc>
                <w:tcPr>
                  <w:tcW w:w="667"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集电线路区</w:t>
                  </w:r>
                </w:p>
              </w:tc>
              <w:tc>
                <w:tcPr>
                  <w:tcW w:w="666"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旁站现场监测巡视</w:t>
                  </w:r>
                </w:p>
              </w:tc>
              <w:tc>
                <w:tcPr>
                  <w:tcW w:w="2994"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旁站集电线路塔基基础开挖时是否控制了作业带宽度；</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检查是否有随意抛填挖方的现象；</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检查是否尽量避开雨天施工；</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检查是否设置了围挡措施。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0"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临时堆土场</w:t>
                  </w:r>
                </w:p>
              </w:tc>
              <w:tc>
                <w:tcPr>
                  <w:tcW w:w="667"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本工程所有临时堆土场</w:t>
                  </w:r>
                </w:p>
              </w:tc>
              <w:tc>
                <w:tcPr>
                  <w:tcW w:w="666"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巡视</w:t>
                  </w:r>
                </w:p>
              </w:tc>
              <w:tc>
                <w:tcPr>
                  <w:tcW w:w="2994" w:type="pct"/>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审批临时堆土场选址；</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监控临时堆土场的堆高、占地；</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检查临时堆土场的水保措施；</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检查施工完毕后的恢复情况。</w:t>
                  </w:r>
                </w:p>
              </w:tc>
            </w:tr>
          </w:tbl>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本项目施工期监理内容见表5-4。</w:t>
            </w:r>
          </w:p>
          <w:p>
            <w:pPr>
              <w:spacing w:line="360" w:lineRule="auto"/>
              <w:ind w:left="-12" w:firstLine="494" w:firstLineChars="205"/>
              <w:jc w:val="center"/>
              <w:rPr>
                <w:rFonts w:hint="default" w:ascii="Times New Roman" w:hAnsi="Times New Roman" w:eastAsia="仿宋" w:cs="Times New Roman"/>
                <w:b/>
                <w:bCs/>
                <w:color w:val="auto"/>
                <w:sz w:val="24"/>
                <w:lang w:val="en-US" w:eastAsia="zh-CN"/>
              </w:rPr>
            </w:pPr>
            <w:r>
              <w:rPr>
                <w:rFonts w:hint="eastAsia" w:ascii="Times New Roman" w:hAnsi="Times New Roman" w:eastAsia="仿宋" w:cs="Times New Roman"/>
                <w:b/>
                <w:bCs/>
                <w:color w:val="auto"/>
                <w:sz w:val="24"/>
                <w:lang w:val="en-US" w:eastAsia="zh-CN"/>
              </w:rPr>
              <w:t>表5-4本项目施工期监理内容一览表</w:t>
            </w:r>
          </w:p>
          <w:tbl>
            <w:tblPr>
              <w:tblStyle w:val="83"/>
              <w:tblW w:w="4999" w:type="pct"/>
              <w:tblInd w:w="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8"/>
              <w:gridCol w:w="1333"/>
              <w:gridCol w:w="616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tcBorders>
                    <w:bottom w:val="single" w:color="000000" w:sz="2" w:space="0"/>
                  </w:tcBorders>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项目</w:t>
                  </w:r>
                </w:p>
              </w:tc>
              <w:tc>
                <w:tcPr>
                  <w:tcW w:w="4486" w:type="pct"/>
                  <w:gridSpan w:val="2"/>
                  <w:tcBorders>
                    <w:bottom w:val="single" w:color="000000" w:sz="2" w:space="0"/>
                  </w:tcBorders>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内容</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tcBorders>
                    <w:top w:val="single" w:color="000000" w:sz="2" w:space="0"/>
                    <w:bottom w:val="single" w:color="000000" w:sz="2"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监理范围</w:t>
                  </w:r>
                </w:p>
              </w:tc>
              <w:tc>
                <w:tcPr>
                  <w:tcW w:w="4486" w:type="pct"/>
                  <w:gridSpan w:val="2"/>
                  <w:tcBorders>
                    <w:top w:val="single" w:color="000000" w:sz="2" w:space="0"/>
                    <w:bottom w:val="single" w:color="000000" w:sz="2"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场内道路施工、施工场地平整、</w:t>
                  </w:r>
                  <w:r>
                    <w:rPr>
                      <w:rFonts w:hint="eastAsia" w:eastAsia="仿宋" w:cs="Times New Roman"/>
                      <w:color w:val="auto"/>
                      <w:szCs w:val="21"/>
                      <w:lang w:eastAsia="zh-CN"/>
                    </w:rPr>
                    <w:t>施工生产生活区</w:t>
                  </w:r>
                  <w:r>
                    <w:rPr>
                      <w:rFonts w:hint="default" w:ascii="Times New Roman" w:hAnsi="Times New Roman" w:eastAsia="仿宋" w:cs="Times New Roman"/>
                      <w:color w:val="auto"/>
                      <w:szCs w:val="21"/>
                    </w:rPr>
                    <w:t>等设施修建、风机和箱变基础施工及安装、升压站设备安装、集电线路架设、污染防治措施、生态保护和恢复等。</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tcBorders>
                    <w:top w:val="single" w:color="000000" w:sz="2" w:space="0"/>
                    <w:bottom w:val="single" w:color="000000" w:sz="6"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岗位职责</w:t>
                  </w:r>
                </w:p>
              </w:tc>
              <w:tc>
                <w:tcPr>
                  <w:tcW w:w="4486" w:type="pct"/>
                  <w:gridSpan w:val="2"/>
                  <w:tcBorders>
                    <w:top w:val="single" w:color="000000" w:sz="2" w:space="0"/>
                    <w:bottom w:val="single" w:color="000000" w:sz="6"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（1）环境监理工程师全面负责监督、检查工程施工区环境保护工作。</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（2）环境监理人员有参加审查会议的资格，就承包商提出的施工组织设计、施工技术方案和施工进度计划提出环保意见，以保证环保设施的落实和工程的顺利进行。</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（3）审查承包商提交的环境月报。</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（4）参加工程阶段验收和竣工验收。</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（5）对承包商的环境月报、季报进行审查。</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（6）编制工程建设环境监理工作月报和季报，对环境监理工作进行总结，提出问题和解决问题的建议。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vMerge w:val="restart"/>
                  <w:tcBorders>
                    <w:top w:val="single" w:color="000000" w:sz="6" w:space="0"/>
                    <w:bottom w:val="nil"/>
                    <w:righ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监理内容</w:t>
                  </w:r>
                </w:p>
              </w:tc>
              <w:tc>
                <w:tcPr>
                  <w:tcW w:w="4486" w:type="pct"/>
                  <w:gridSpan w:val="2"/>
                  <w:tcBorders>
                    <w:top w:val="single" w:color="000000" w:sz="6" w:space="0"/>
                    <w:lef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（一）编制环境监理计划，拟定环境监理项目和内容。</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（二）对施工活动进行监理，防止和减轻施工引起的生态破坏影响和环境污染。</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（三）监督和检查合施工单位各项环境保护措施实施情况和实际效果，环境监测成果。</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（四）在日常工作中做好监理记录和监理报告，组织质量评定，参与竣工验收。</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vMerge w:val="continue"/>
                  <w:tcBorders>
                    <w:top w:val="nil"/>
                    <w:bottom w:val="nil"/>
                    <w:right w:val="single" w:color="000000" w:sz="4" w:space="0"/>
                  </w:tcBorders>
                  <w:vAlign w:val="center"/>
                </w:tcPr>
                <w:p>
                  <w:pPr>
                    <w:jc w:val="both"/>
                    <w:rPr>
                      <w:rFonts w:hint="default" w:ascii="Times New Roman" w:hAnsi="Times New Roman" w:eastAsia="仿宋" w:cs="Times New Roman"/>
                      <w:color w:val="auto"/>
                      <w:szCs w:val="21"/>
                    </w:rPr>
                  </w:pPr>
                </w:p>
              </w:tc>
              <w:tc>
                <w:tcPr>
                  <w:tcW w:w="797" w:type="pct"/>
                  <w:tcBorders>
                    <w:left w:val="single" w:color="000000" w:sz="4" w:space="0"/>
                    <w:righ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施工活动生态保护监理</w:t>
                  </w:r>
                </w:p>
              </w:tc>
              <w:tc>
                <w:tcPr>
                  <w:tcW w:w="3689" w:type="pct"/>
                  <w:tcBorders>
                    <w:lef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方式的合理性、要求采取符合环保要求和生态景观保护的施工工艺和施工方法。控制施工作业区面积，限制施工活动扰动范围区域，禁止施工人员随意到非施工区域活动。施工车辆必须沿规定的运输路线行驶，不得随意越界行驶。施工开挖表土和弃渣在回填时应就近集中分开堆存，以利于回填。场内道路、风机区域、施工生产设施等区域的水土保持工程防护措施实施落实。</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vMerge w:val="continue"/>
                  <w:tcBorders>
                    <w:top w:val="nil"/>
                    <w:bottom w:val="nil"/>
                    <w:right w:val="single" w:color="000000" w:sz="4" w:space="0"/>
                  </w:tcBorders>
                  <w:vAlign w:val="center"/>
                </w:tcPr>
                <w:p>
                  <w:pPr>
                    <w:jc w:val="both"/>
                    <w:rPr>
                      <w:rFonts w:hint="default" w:ascii="Times New Roman" w:hAnsi="Times New Roman" w:eastAsia="仿宋" w:cs="Times New Roman"/>
                      <w:color w:val="auto"/>
                      <w:szCs w:val="21"/>
                    </w:rPr>
                  </w:pPr>
                </w:p>
              </w:tc>
              <w:tc>
                <w:tcPr>
                  <w:tcW w:w="797" w:type="pct"/>
                  <w:tcBorders>
                    <w:left w:val="single" w:color="000000" w:sz="4" w:space="0"/>
                    <w:righ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施工后期生态恢复监理</w:t>
                  </w:r>
                </w:p>
              </w:tc>
              <w:tc>
                <w:tcPr>
                  <w:tcW w:w="3689" w:type="pct"/>
                  <w:tcBorders>
                    <w:lef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场内道路区：要求清理道路沿线渣料，对沿线裸露区域覆土恢复植被。</w:t>
                  </w:r>
                </w:p>
                <w:p>
                  <w:pPr>
                    <w:jc w:val="both"/>
                    <w:rPr>
                      <w:rFonts w:hint="default" w:ascii="Times New Roman" w:hAnsi="Times New Roman" w:eastAsia="仿宋" w:cs="Times New Roman"/>
                      <w:color w:val="auto"/>
                      <w:szCs w:val="21"/>
                    </w:rPr>
                  </w:pPr>
                  <w:r>
                    <w:rPr>
                      <w:rFonts w:hint="eastAsia" w:eastAsia="仿宋" w:cs="Times New Roman"/>
                      <w:color w:val="auto"/>
                      <w:szCs w:val="21"/>
                      <w:lang w:eastAsia="zh-CN"/>
                    </w:rPr>
                    <w:t>施工生产生活区</w:t>
                  </w:r>
                  <w:r>
                    <w:rPr>
                      <w:rFonts w:hint="default" w:ascii="Times New Roman" w:hAnsi="Times New Roman" w:eastAsia="仿宋" w:cs="Times New Roman"/>
                      <w:color w:val="auto"/>
                      <w:szCs w:val="21"/>
                    </w:rPr>
                    <w:t>、辅助设施区：要求施工结束后清理场地，再覆土恢复植被。</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临时堆土场：采取临时拦挡措施，后期全部回填或覆土用，进行植被恢复。</w:t>
                  </w:r>
                </w:p>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主体工程区：升压站围墙外区域植树种草，风机基础区覆土植草，集电线路塔基整地恢复植被。</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vMerge w:val="continue"/>
                  <w:tcBorders>
                    <w:top w:val="nil"/>
                    <w:bottom w:val="nil"/>
                    <w:right w:val="single" w:color="000000" w:sz="4" w:space="0"/>
                  </w:tcBorders>
                  <w:vAlign w:val="center"/>
                </w:tcPr>
                <w:p>
                  <w:pPr>
                    <w:jc w:val="both"/>
                    <w:rPr>
                      <w:rFonts w:hint="default" w:ascii="Times New Roman" w:hAnsi="Times New Roman" w:eastAsia="仿宋" w:cs="Times New Roman"/>
                      <w:color w:val="auto"/>
                      <w:szCs w:val="21"/>
                    </w:rPr>
                  </w:pPr>
                </w:p>
              </w:tc>
              <w:tc>
                <w:tcPr>
                  <w:tcW w:w="797" w:type="pct"/>
                  <w:tcBorders>
                    <w:left w:val="single" w:color="000000" w:sz="4" w:space="0"/>
                    <w:righ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污废水处理监理</w:t>
                  </w:r>
                </w:p>
              </w:tc>
              <w:tc>
                <w:tcPr>
                  <w:tcW w:w="3689" w:type="pct"/>
                  <w:tcBorders>
                    <w:lef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施工废水处理措施及回用情况，出水排放去向。各风机基础施工作业面的少量施工废水简易沉淀池设置情况。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vMerge w:val="continue"/>
                  <w:tcBorders>
                    <w:top w:val="nil"/>
                    <w:bottom w:val="nil"/>
                    <w:right w:val="single" w:color="000000" w:sz="4" w:space="0"/>
                  </w:tcBorders>
                  <w:vAlign w:val="center"/>
                </w:tcPr>
                <w:p>
                  <w:pPr>
                    <w:jc w:val="both"/>
                    <w:rPr>
                      <w:rFonts w:hint="default" w:ascii="Times New Roman" w:hAnsi="Times New Roman" w:eastAsia="仿宋" w:cs="Times New Roman"/>
                      <w:color w:val="auto"/>
                      <w:szCs w:val="21"/>
                    </w:rPr>
                  </w:pPr>
                </w:p>
              </w:tc>
              <w:tc>
                <w:tcPr>
                  <w:tcW w:w="797" w:type="pct"/>
                  <w:tcBorders>
                    <w:left w:val="single" w:color="000000" w:sz="4" w:space="0"/>
                    <w:righ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固体废弃物处理监理</w:t>
                  </w:r>
                </w:p>
              </w:tc>
              <w:tc>
                <w:tcPr>
                  <w:tcW w:w="3689" w:type="pct"/>
                  <w:tcBorders>
                    <w:lef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施工生活垃圾收集及堆放及最终处置去向。在升压站内建设运行期生活垃圾收集点；在升压站内修建危废暂存间（做防渗处理），并配备防渗塑料桶。</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vMerge w:val="continue"/>
                  <w:tcBorders>
                    <w:top w:val="nil"/>
                    <w:bottom w:val="nil"/>
                    <w:right w:val="single" w:color="000000" w:sz="4" w:space="0"/>
                  </w:tcBorders>
                  <w:vAlign w:val="center"/>
                </w:tcPr>
                <w:p>
                  <w:pPr>
                    <w:jc w:val="both"/>
                    <w:rPr>
                      <w:rFonts w:hint="default" w:ascii="Times New Roman" w:hAnsi="Times New Roman" w:eastAsia="仿宋" w:cs="Times New Roman"/>
                      <w:color w:val="auto"/>
                      <w:szCs w:val="21"/>
                    </w:rPr>
                  </w:pPr>
                </w:p>
              </w:tc>
              <w:tc>
                <w:tcPr>
                  <w:tcW w:w="797" w:type="pct"/>
                  <w:tcBorders>
                    <w:left w:val="single" w:color="000000" w:sz="4" w:space="0"/>
                    <w:righ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环境空气保护监理</w:t>
                  </w:r>
                </w:p>
              </w:tc>
              <w:tc>
                <w:tcPr>
                  <w:tcW w:w="3689" w:type="pct"/>
                  <w:tcBorders>
                    <w:lef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施工单位应选用符合国家有关卫生标准的施工机械和运输工具，使其排放的废气能够达到国家标准。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13" w:type="pct"/>
                  <w:vMerge w:val="continue"/>
                  <w:tcBorders>
                    <w:top w:val="nil"/>
                    <w:right w:val="single" w:color="000000" w:sz="4" w:space="0"/>
                  </w:tcBorders>
                  <w:vAlign w:val="center"/>
                </w:tcPr>
                <w:p>
                  <w:pPr>
                    <w:jc w:val="both"/>
                    <w:rPr>
                      <w:rFonts w:hint="default" w:ascii="Times New Roman" w:hAnsi="Times New Roman" w:eastAsia="仿宋" w:cs="Times New Roman"/>
                      <w:color w:val="auto"/>
                      <w:szCs w:val="21"/>
                    </w:rPr>
                  </w:pPr>
                </w:p>
              </w:tc>
              <w:tc>
                <w:tcPr>
                  <w:tcW w:w="797" w:type="pct"/>
                  <w:tcBorders>
                    <w:left w:val="single" w:color="000000" w:sz="4" w:space="0"/>
                    <w:righ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声环境保护监理</w:t>
                  </w:r>
                </w:p>
              </w:tc>
              <w:tc>
                <w:tcPr>
                  <w:tcW w:w="3689" w:type="pct"/>
                  <w:tcBorders>
                    <w:left w:val="single" w:color="000000" w:sz="4" w:space="0"/>
                  </w:tcBorders>
                  <w:vAlign w:val="center"/>
                </w:tcPr>
                <w:p>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施工单位应选用低噪声施工机械和设备，合理布置高噪声设备及机械，使施工期周边声环境能够满足国家标准限值要求。</w:t>
                  </w:r>
                </w:p>
              </w:tc>
            </w:tr>
          </w:tbl>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建议本工程施工期实施如下监测计划。</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（1）监测目的、原则及监测机构</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项目施工、运行过程中对周边环境产生一定的影响，为了解各项污染物排放达标情况，及时减轻项目建设带来的负面环境影响，需要对项目实施监测计划。</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监测计划的制定是根据预测各个时期的主要环境影响及可能超标的指标而确定。</w:t>
            </w:r>
          </w:p>
          <w:p>
            <w:pPr>
              <w:spacing w:line="360" w:lineRule="auto"/>
              <w:ind w:left="-12" w:firstLine="491" w:firstLineChars="205"/>
              <w:rPr>
                <w:rFonts w:hint="default"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监测机构：项目施工期和运行期的环境监测应由符合国家质量检测认证资质的单位承担。为保证监测计划的执行，建设单位应在施工前与监测单位签订施工期的环境监测合同，在项目交付使用前与监测单位签订运行期环境监测合同。</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（2）大气环境监测计划</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主要对施工期扬尘开展监测工作。</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①监测点：主要在检修道路附近的居民点各设立1个监测点位。</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②监测项目：TSP、PM</w:t>
            </w:r>
            <w:r>
              <w:rPr>
                <w:rFonts w:hint="eastAsia" w:ascii="Times New Roman" w:hAnsi="Times New Roman" w:eastAsia="仿宋" w:cs="Times New Roman"/>
                <w:color w:val="auto"/>
                <w:sz w:val="24"/>
                <w:vertAlign w:val="subscript"/>
                <w:lang w:val="en-US" w:eastAsia="zh-CN"/>
              </w:rPr>
              <w:t>2.5</w:t>
            </w:r>
            <w:r>
              <w:rPr>
                <w:rFonts w:hint="eastAsia" w:ascii="Times New Roman" w:hAnsi="Times New Roman" w:eastAsia="仿宋" w:cs="Times New Roman"/>
                <w:color w:val="auto"/>
                <w:sz w:val="24"/>
                <w:lang w:val="en-US" w:eastAsia="zh-CN"/>
              </w:rPr>
              <w:t>、PM</w:t>
            </w:r>
            <w:r>
              <w:rPr>
                <w:rFonts w:hint="eastAsia" w:ascii="Times New Roman" w:hAnsi="Times New Roman" w:eastAsia="仿宋" w:cs="Times New Roman"/>
                <w:color w:val="auto"/>
                <w:sz w:val="24"/>
                <w:vertAlign w:val="subscript"/>
                <w:lang w:val="en-US" w:eastAsia="zh-CN"/>
              </w:rPr>
              <w:t>10</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③监测频率：每年监测4次，每季度监测一次，每次一天，连续监测24h。</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（3）噪声监测计划</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a.施工期噪声监测计划</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①监测点：主要在检修道路、升压站附近居民点各设立1个监测点位。</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②监测项目：施工场界噪声</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③监测频率：监测频率为每月1次（没有施工则调整监测频率），每次2天，分昼夜监测。</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b.运行期噪声监测计划</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①监测点：单台风机噪声断面监测，监测距离从风机平台延伸至噪声值达标（45dB（A））处；升压站厂界噪声；周边居民点处噪声监测。</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②监测项目：风机噪声断面、升压站厂界噪声以及敏感点昼间、夜间噪声；</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③竣工验收及运行期，每年1次，连续2日昼夜。</w:t>
            </w:r>
          </w:p>
          <w:p>
            <w:pPr>
              <w:numPr>
                <w:ilvl w:val="0"/>
                <w:numId w:val="4"/>
              </w:num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生态环境监测计划</w:t>
            </w:r>
          </w:p>
          <w:p>
            <w:pPr>
              <w:numPr>
                <w:ilvl w:val="0"/>
                <w:numId w:val="0"/>
              </w:numPr>
              <w:spacing w:line="360" w:lineRule="auto"/>
              <w:ind w:left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a.监测范围</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重点监测风机基础及箱变基础区、集电线路区、升压站区、施工道路区、</w:t>
            </w:r>
            <w:r>
              <w:rPr>
                <w:rFonts w:hint="eastAsia" w:eastAsia="仿宋" w:cs="Times New Roman"/>
                <w:color w:val="auto"/>
                <w:sz w:val="24"/>
                <w:lang w:val="en-US" w:eastAsia="zh-CN"/>
              </w:rPr>
              <w:t>施工生产生活区</w:t>
            </w:r>
            <w:r>
              <w:rPr>
                <w:rFonts w:hint="eastAsia" w:ascii="Times New Roman" w:hAnsi="Times New Roman" w:eastAsia="仿宋" w:cs="Times New Roman"/>
                <w:color w:val="auto"/>
                <w:sz w:val="24"/>
                <w:lang w:val="en-US" w:eastAsia="zh-CN"/>
              </w:rPr>
              <w:t>。</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b.监测时间</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陆生植物：施工期监测2次，运营期监测2年，监测时期为每年6~8月。</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陆生动物：施工期监测2次，运营期监测2年。监测时期为每年4~7月，开展两栖类、爬行类、兽类监测；鸟类监测每年分两次（即繁殖期、越冬期），繁殖期一般为每年3月~7月，越冬期一般为10月~次年3月。</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c.监测内容</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陆生植物监测：种类及组成、种群密度、覆盖度、外来种等；</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陆生动物监测：种类、分布、密度和季节动态变化；重点保护野生动物的种类、数量、栖息地、觅食地等。</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d.监测方法</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①植物监测：在各点位根据陆生生物组成设置固定样线2~3条，根据各样线群落面积确定设置的样地数量，着重调查植物的垂直和水平分布、植物物种。此外，监测过程中应密切关注外来入侵种的种类、数量、入侵速度。</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②陆生动物监测：两栖类和爬行类样方：采用抓捕法、访问法调查两栖类和爬行类动物种类、数量、分布特征等。</w:t>
            </w:r>
          </w:p>
          <w:p>
            <w:pPr>
              <w:spacing w:line="360" w:lineRule="auto"/>
              <w:ind w:left="-12" w:firstLine="491" w:firstLineChars="205"/>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③小型兽类样方：采用日铗法、访问法调查小型兽类动物种类、数量、分布等。</w:t>
            </w:r>
          </w:p>
          <w:p>
            <w:pPr>
              <w:spacing w:line="360" w:lineRule="auto"/>
              <w:ind w:left="-12" w:firstLine="491" w:firstLineChars="205"/>
              <w:rPr>
                <w:rFonts w:hint="default"/>
                <w:color w:val="auto"/>
                <w:spacing w:val="-1"/>
                <w:sz w:val="24"/>
                <w:szCs w:val="24"/>
              </w:rPr>
            </w:pPr>
            <w:r>
              <w:rPr>
                <w:rFonts w:hint="eastAsia" w:ascii="Times New Roman" w:hAnsi="Times New Roman" w:eastAsia="仿宋" w:cs="Times New Roman"/>
                <w:color w:val="auto"/>
                <w:sz w:val="24"/>
                <w:lang w:val="en-US" w:eastAsia="zh-CN"/>
              </w:rPr>
              <w:t>④鸟类样方：采用观测法、访问法调查鸟类种类、数量、分布特征等。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rFonts w:hint="default" w:ascii="Times New Roman" w:hAnsi="Times New Roman" w:eastAsia="仿宋" w:cs="Times New Roman"/>
                <w:bCs/>
                <w:color w:val="auto"/>
                <w:spacing w:val="10"/>
                <w:sz w:val="24"/>
              </w:rPr>
            </w:pPr>
            <w:r>
              <w:rPr>
                <w:rFonts w:hint="default" w:ascii="Times New Roman" w:hAnsi="Times New Roman" w:eastAsia="仿宋" w:cs="Times New Roman"/>
                <w:bCs/>
                <w:color w:val="auto"/>
                <w:sz w:val="24"/>
              </w:rPr>
              <w:t>环保投资</w:t>
            </w:r>
          </w:p>
        </w:tc>
        <w:tc>
          <w:tcPr>
            <w:tcW w:w="8457" w:type="dxa"/>
          </w:tcPr>
          <w:p>
            <w:pPr>
              <w:spacing w:line="360" w:lineRule="auto"/>
              <w:ind w:left="-12" w:firstLine="491" w:firstLineChars="205"/>
              <w:rPr>
                <w:rFonts w:hint="default" w:ascii="Times New Roman" w:hAnsi="Times New Roman" w:eastAsia="仿宋" w:cs="Times New Roman"/>
                <w:color w:val="auto"/>
                <w:sz w:val="24"/>
                <w:highlight w:val="yellow"/>
              </w:rPr>
            </w:pPr>
            <w:r>
              <w:rPr>
                <w:rFonts w:hint="default" w:ascii="Times New Roman" w:hAnsi="Times New Roman" w:eastAsia="仿宋" w:cs="Times New Roman"/>
                <w:color w:val="auto"/>
                <w:sz w:val="24"/>
              </w:rPr>
              <w:t>本项目总投资为</w:t>
            </w:r>
            <w:r>
              <w:rPr>
                <w:rFonts w:hint="eastAsia" w:eastAsia="仿宋" w:cs="Times New Roman"/>
                <w:color w:val="auto"/>
                <w:sz w:val="24"/>
                <w:lang w:val="en-US" w:eastAsia="zh-CN"/>
              </w:rPr>
              <w:t>23413</w:t>
            </w:r>
            <w:r>
              <w:rPr>
                <w:rFonts w:hint="default" w:ascii="Times New Roman" w:hAnsi="Times New Roman" w:eastAsia="仿宋" w:cs="Times New Roman"/>
                <w:color w:val="auto"/>
                <w:sz w:val="24"/>
              </w:rPr>
              <w:t>万元，环保投资为</w:t>
            </w:r>
            <w:r>
              <w:rPr>
                <w:rFonts w:hint="eastAsia" w:eastAsia="仿宋" w:cs="Times New Roman"/>
                <w:color w:val="auto"/>
                <w:sz w:val="24"/>
                <w:lang w:val="en-US" w:eastAsia="zh-CN"/>
              </w:rPr>
              <w:t>851.26</w:t>
            </w:r>
            <w:r>
              <w:rPr>
                <w:rFonts w:hint="default" w:ascii="Times New Roman" w:hAnsi="Times New Roman" w:eastAsia="仿宋" w:cs="Times New Roman"/>
                <w:color w:val="auto"/>
                <w:sz w:val="24"/>
              </w:rPr>
              <w:t>万元，环保投资占总投资比例约</w:t>
            </w:r>
            <w:r>
              <w:rPr>
                <w:rFonts w:hint="eastAsia" w:eastAsia="仿宋" w:cs="Times New Roman"/>
                <w:color w:val="auto"/>
                <w:sz w:val="24"/>
                <w:lang w:val="en-US" w:eastAsia="zh-CN"/>
              </w:rPr>
              <w:t>3.64</w:t>
            </w:r>
            <w:r>
              <w:rPr>
                <w:rFonts w:hint="default" w:ascii="Times New Roman" w:hAnsi="Times New Roman" w:eastAsia="仿宋" w:cs="Times New Roman"/>
                <w:color w:val="auto"/>
                <w:sz w:val="24"/>
              </w:rPr>
              <w:t>%，见表5-1。</w:t>
            </w:r>
          </w:p>
          <w:p>
            <w:pPr>
              <w:spacing w:line="360" w:lineRule="auto"/>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Cs w:val="21"/>
              </w:rPr>
              <w:t>表5-1  工程环保投资情况一览表</w:t>
            </w:r>
          </w:p>
          <w:tbl>
            <w:tblPr>
              <w:tblStyle w:val="83"/>
              <w:tblW w:w="4998" w:type="pct"/>
              <w:tblInd w:w="2"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35"/>
              <w:gridCol w:w="975"/>
              <w:gridCol w:w="3788"/>
              <w:gridCol w:w="1321"/>
              <w:gridCol w:w="1440"/>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99"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2848" w:type="pct"/>
                  <w:gridSpan w:val="2"/>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项目</w:t>
                  </w:r>
                </w:p>
              </w:tc>
              <w:tc>
                <w:tcPr>
                  <w:tcW w:w="790"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费用</w:t>
                  </w:r>
                </w:p>
              </w:tc>
              <w:tc>
                <w:tcPr>
                  <w:tcW w:w="861" w:type="pct"/>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污染防治和生态保护</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733.26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污染防治</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137.5</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Merge w:val="restart"/>
                  <w:tcBorders>
                    <w:bottom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w:t>
                  </w:r>
                </w:p>
              </w:tc>
              <w:tc>
                <w:tcPr>
                  <w:tcW w:w="583" w:type="pct"/>
                  <w:vMerge w:val="restart"/>
                  <w:tcBorders>
                    <w:bottom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w:t>
                  </w: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沉淀池+隔油池</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4</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99"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583"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化粪池</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1</w:t>
                  </w:r>
                </w:p>
              </w:tc>
              <w:tc>
                <w:tcPr>
                  <w:tcW w:w="861" w:type="pct"/>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583"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施工粉尘、扬尘控制</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Merge w:val="continue"/>
                  <w:tcBorders>
                    <w:top w:val="nil"/>
                  </w:tcBorders>
                  <w:vAlign w:val="center"/>
                </w:tcPr>
                <w:p>
                  <w:pPr>
                    <w:jc w:val="center"/>
                    <w:rPr>
                      <w:rFonts w:hint="default" w:ascii="Times New Roman" w:hAnsi="Times New Roman" w:eastAsia="仿宋" w:cs="Times New Roman"/>
                      <w:color w:val="auto"/>
                      <w:szCs w:val="21"/>
                    </w:rPr>
                  </w:pPr>
                </w:p>
              </w:tc>
              <w:tc>
                <w:tcPr>
                  <w:tcW w:w="583" w:type="pct"/>
                  <w:vMerge w:val="continue"/>
                  <w:tcBorders>
                    <w:top w:val="nil"/>
                  </w:tcBorders>
                  <w:vAlign w:val="center"/>
                </w:tcPr>
                <w:p>
                  <w:pPr>
                    <w:jc w:val="center"/>
                    <w:rPr>
                      <w:rFonts w:hint="default" w:ascii="Times New Roman" w:hAnsi="Times New Roman" w:eastAsia="仿宋" w:cs="Times New Roman"/>
                      <w:color w:val="auto"/>
                      <w:szCs w:val="21"/>
                    </w:rPr>
                  </w:pP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生活垃圾及建筑垃圾外运处置</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3</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499" w:type="pct"/>
                  <w:vMerge w:val="restart"/>
                  <w:tcBorders>
                    <w:bottom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w:t>
                  </w:r>
                </w:p>
              </w:tc>
              <w:tc>
                <w:tcPr>
                  <w:tcW w:w="583" w:type="pct"/>
                  <w:vMerge w:val="restart"/>
                  <w:tcBorders>
                    <w:bottom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运行期</w:t>
                  </w: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隔油池、化粪池、地埋式一体化生活污水处理装置、集水池</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12</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99"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583"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废油收集桶、危废暂存间</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5</w:t>
                  </w:r>
                </w:p>
              </w:tc>
              <w:tc>
                <w:tcPr>
                  <w:tcW w:w="861" w:type="pct"/>
                  <w:vMerge w:val="restart"/>
                  <w:tcBorders>
                    <w:bottom w:val="nil"/>
                  </w:tcBorders>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583"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事故油池</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4</w:t>
                  </w:r>
                </w:p>
              </w:tc>
              <w:tc>
                <w:tcPr>
                  <w:tcW w:w="861" w:type="pct"/>
                  <w:vMerge w:val="continue"/>
                  <w:tcBorders>
                    <w:top w:val="nil"/>
                  </w:tcBorders>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583" w:type="pct"/>
                  <w:vMerge w:val="continue"/>
                  <w:tcBorders>
                    <w:top w:val="nil"/>
                    <w:bottom w:val="nil"/>
                  </w:tcBorders>
                  <w:vAlign w:val="center"/>
                </w:tcPr>
                <w:p>
                  <w:pPr>
                    <w:jc w:val="center"/>
                    <w:rPr>
                      <w:rFonts w:hint="default" w:ascii="Times New Roman" w:hAnsi="Times New Roman" w:eastAsia="仿宋" w:cs="Times New Roman"/>
                      <w:color w:val="auto"/>
                      <w:szCs w:val="21"/>
                    </w:rPr>
                  </w:pP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风机加装降噪风管</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99" w:type="pct"/>
                  <w:vMerge w:val="continue"/>
                  <w:tcBorders>
                    <w:top w:val="nil"/>
                  </w:tcBorders>
                  <w:vAlign w:val="center"/>
                </w:tcPr>
                <w:p>
                  <w:pPr>
                    <w:jc w:val="center"/>
                    <w:rPr>
                      <w:rFonts w:hint="default" w:ascii="Times New Roman" w:hAnsi="Times New Roman" w:eastAsia="仿宋" w:cs="Times New Roman"/>
                      <w:color w:val="auto"/>
                      <w:szCs w:val="21"/>
                    </w:rPr>
                  </w:pPr>
                </w:p>
              </w:tc>
              <w:tc>
                <w:tcPr>
                  <w:tcW w:w="583" w:type="pct"/>
                  <w:vMerge w:val="continue"/>
                  <w:tcBorders>
                    <w:top w:val="nil"/>
                  </w:tcBorders>
                  <w:vAlign w:val="center"/>
                </w:tcPr>
                <w:p>
                  <w:pPr>
                    <w:jc w:val="center"/>
                    <w:rPr>
                      <w:rFonts w:hint="default" w:ascii="Times New Roman" w:hAnsi="Times New Roman" w:eastAsia="仿宋" w:cs="Times New Roman"/>
                      <w:color w:val="auto"/>
                      <w:szCs w:val="21"/>
                    </w:rPr>
                  </w:pPr>
                </w:p>
              </w:tc>
              <w:tc>
                <w:tcPr>
                  <w:tcW w:w="2264"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噪声超标预留措施费用</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100</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生态保护</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595.76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2.1</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水土保持</w:t>
                  </w:r>
                </w:p>
              </w:tc>
              <w:tc>
                <w:tcPr>
                  <w:tcW w:w="790" w:type="pct"/>
                  <w:vAlign w:val="center"/>
                </w:tcPr>
                <w:p>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575.76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2.2</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宣传教育、警示措施</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8</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2.3</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“恐怖眼”或声音驱鸟设备</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2.4</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风机叶片涂装</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二</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环境监测和水土流失监测</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68</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环境监测</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68</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大气监测</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噪声监测</w:t>
                  </w:r>
                </w:p>
              </w:tc>
              <w:tc>
                <w:tcPr>
                  <w:tcW w:w="790" w:type="pct"/>
                  <w:vAlign w:val="center"/>
                </w:tcPr>
                <w:p>
                  <w:pPr>
                    <w:jc w:val="center"/>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2</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1.3</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生态监测</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60</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水土流失监测</w:t>
                  </w:r>
                </w:p>
              </w:tc>
              <w:tc>
                <w:tcPr>
                  <w:tcW w:w="790"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计入水土保持专项投资</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三</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环保咨询、环境监理和竣工环保验收</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50</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9"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2848" w:type="pct"/>
                  <w:gridSpan w:val="2"/>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环境保护总投资</w:t>
                  </w:r>
                </w:p>
              </w:tc>
              <w:tc>
                <w:tcPr>
                  <w:tcW w:w="790" w:type="pct"/>
                  <w:vAlign w:val="center"/>
                </w:tcPr>
                <w:p>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851.26</w:t>
                  </w:r>
                </w:p>
              </w:tc>
              <w:tc>
                <w:tcPr>
                  <w:tcW w:w="861" w:type="pct"/>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bl>
          <w:p>
            <w:pPr>
              <w:adjustRightInd w:val="0"/>
              <w:snapToGrid w:val="0"/>
              <w:rPr>
                <w:rFonts w:hint="default" w:ascii="Times New Roman" w:hAnsi="Times New Roman" w:eastAsia="仿宋" w:cs="Times New Roman"/>
                <w:bCs/>
                <w:color w:val="auto"/>
                <w:spacing w:val="10"/>
                <w:sz w:val="24"/>
              </w:rPr>
            </w:pPr>
          </w:p>
        </w:tc>
      </w:tr>
    </w:tbl>
    <w:p>
      <w:pPr>
        <w:rPr>
          <w:rFonts w:hint="default" w:ascii="Times New Roman" w:hAnsi="Times New Roman" w:eastAsia="仿宋" w:cs="Times New Roman"/>
          <w:color w:val="auto"/>
        </w:rPr>
        <w:sectPr>
          <w:pgSz w:w="11907" w:h="16840"/>
          <w:pgMar w:top="1440" w:right="1797" w:bottom="1440" w:left="1797" w:header="851" w:footer="1077" w:gutter="0"/>
          <w:cols w:space="425" w:num="1"/>
          <w:docGrid w:linePitch="312" w:charSpace="0"/>
        </w:sectPr>
      </w:pPr>
    </w:p>
    <w:p>
      <w:pPr>
        <w:pStyle w:val="17"/>
        <w:jc w:val="center"/>
        <w:outlineLvl w:val="0"/>
        <w:rPr>
          <w:rFonts w:hint="default" w:ascii="黑体" w:hAnsi="黑体" w:eastAsia="黑体" w:cs="黑体"/>
          <w:snapToGrid w:val="0"/>
          <w:color w:val="auto"/>
          <w:sz w:val="30"/>
          <w:szCs w:val="30"/>
        </w:rPr>
      </w:pPr>
      <w:bookmarkStart w:id="20" w:name="_Toc66980749"/>
      <w:r>
        <w:rPr>
          <w:rFonts w:hint="default" w:ascii="黑体" w:hAnsi="黑体" w:eastAsia="黑体" w:cs="黑体"/>
          <w:snapToGrid w:val="0"/>
          <w:color w:val="auto"/>
          <w:sz w:val="30"/>
          <w:szCs w:val="30"/>
        </w:rPr>
        <w:t>六、生态环境保护措施监督检查清单</w:t>
      </w:r>
      <w:bookmarkEnd w:id="20"/>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5967"/>
        <w:gridCol w:w="1273"/>
        <w:gridCol w:w="3955"/>
        <w:gridCol w:w="1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Merge w:val="restart"/>
            <w:tcBorders>
              <w:tl2br w:val="single" w:color="auto" w:sz="4" w:space="0"/>
            </w:tcBorders>
            <w:vAlign w:val="center"/>
          </w:tcPr>
          <w:p>
            <w:pPr>
              <w:pStyle w:val="17"/>
              <w:spacing w:before="0" w:beforeAutospacing="0" w:after="0" w:afterAutospacing="0"/>
              <w:ind w:firstLine="211" w:firstLineChars="100"/>
              <w:jc w:val="center"/>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 xml:space="preserve">    内容</w:t>
            </w:r>
          </w:p>
          <w:p>
            <w:pPr>
              <w:pStyle w:val="17"/>
              <w:spacing w:before="0" w:beforeAutospacing="0" w:after="0" w:afterAutospacing="0"/>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要素</w:t>
            </w:r>
          </w:p>
        </w:tc>
        <w:tc>
          <w:tcPr>
            <w:tcW w:w="2553" w:type="pct"/>
            <w:gridSpan w:val="2"/>
            <w:vAlign w:val="center"/>
          </w:tcPr>
          <w:p>
            <w:pPr>
              <w:pStyle w:val="17"/>
              <w:adjustRightInd w:val="0"/>
              <w:snapToGrid w:val="0"/>
              <w:spacing w:before="0" w:beforeAutospacing="0" w:after="0" w:afterAutospacing="0"/>
              <w:jc w:val="center"/>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施工期</w:t>
            </w:r>
          </w:p>
        </w:tc>
        <w:tc>
          <w:tcPr>
            <w:tcW w:w="1921" w:type="pct"/>
            <w:gridSpan w:val="2"/>
            <w:vAlign w:val="center"/>
          </w:tcPr>
          <w:p>
            <w:pPr>
              <w:pStyle w:val="17"/>
              <w:adjustRightInd w:val="0"/>
              <w:snapToGrid w:val="0"/>
              <w:spacing w:before="0" w:beforeAutospacing="0" w:after="0" w:afterAutospacing="0"/>
              <w:jc w:val="center"/>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Merge w:val="continue"/>
            <w:vAlign w:val="center"/>
          </w:tcPr>
          <w:p>
            <w:pPr>
              <w:pStyle w:val="17"/>
              <w:adjustRightInd w:val="0"/>
              <w:snapToGrid w:val="0"/>
              <w:spacing w:before="0" w:beforeAutospacing="0" w:after="0" w:afterAutospacing="0"/>
              <w:ind w:firstLine="840"/>
              <w:jc w:val="center"/>
              <w:rPr>
                <w:rFonts w:hint="default" w:ascii="Times New Roman" w:hAnsi="Times New Roman" w:eastAsia="仿宋" w:cs="Times New Roman"/>
                <w:b/>
                <w:color w:val="auto"/>
                <w:kern w:val="2"/>
                <w:sz w:val="21"/>
                <w:szCs w:val="21"/>
                <w:lang w:val="en-US"/>
              </w:rPr>
            </w:pPr>
          </w:p>
        </w:tc>
        <w:tc>
          <w:tcPr>
            <w:tcW w:w="2104" w:type="pct"/>
            <w:vAlign w:val="center"/>
          </w:tcPr>
          <w:p>
            <w:pPr>
              <w:pStyle w:val="17"/>
              <w:adjustRightInd w:val="0"/>
              <w:snapToGrid w:val="0"/>
              <w:spacing w:before="0" w:beforeAutospacing="0" w:after="0" w:afterAutospacing="0"/>
              <w:jc w:val="center"/>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环境保护措施</w:t>
            </w:r>
          </w:p>
        </w:tc>
        <w:tc>
          <w:tcPr>
            <w:tcW w:w="449" w:type="pct"/>
            <w:vAlign w:val="center"/>
          </w:tcPr>
          <w:p>
            <w:pPr>
              <w:pStyle w:val="17"/>
              <w:adjustRightInd w:val="0"/>
              <w:snapToGrid w:val="0"/>
              <w:spacing w:before="0" w:beforeAutospacing="0" w:after="0" w:afterAutospacing="0"/>
              <w:jc w:val="center"/>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验收要求</w:t>
            </w:r>
          </w:p>
        </w:tc>
        <w:tc>
          <w:tcPr>
            <w:tcW w:w="1395" w:type="pct"/>
            <w:vAlign w:val="center"/>
          </w:tcPr>
          <w:p>
            <w:pPr>
              <w:pStyle w:val="17"/>
              <w:adjustRightInd w:val="0"/>
              <w:snapToGrid w:val="0"/>
              <w:spacing w:before="0" w:beforeAutospacing="0" w:after="0" w:afterAutospacing="0"/>
              <w:jc w:val="center"/>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环境保护措施</w:t>
            </w:r>
          </w:p>
        </w:tc>
        <w:tc>
          <w:tcPr>
            <w:tcW w:w="525" w:type="pct"/>
            <w:vAlign w:val="center"/>
          </w:tcPr>
          <w:p>
            <w:pPr>
              <w:pStyle w:val="17"/>
              <w:adjustRightInd w:val="0"/>
              <w:snapToGrid w:val="0"/>
              <w:spacing w:before="0" w:beforeAutospacing="0" w:after="0" w:afterAutospacing="0"/>
              <w:jc w:val="center"/>
              <w:rPr>
                <w:rFonts w:hint="default" w:ascii="Times New Roman" w:hAnsi="Times New Roman" w:eastAsia="仿宋" w:cs="Times New Roman"/>
                <w:b/>
                <w:color w:val="auto"/>
                <w:kern w:val="2"/>
                <w:sz w:val="21"/>
                <w:szCs w:val="21"/>
                <w:lang w:val="en-US"/>
              </w:rPr>
            </w:pPr>
            <w:r>
              <w:rPr>
                <w:rFonts w:hint="default" w:ascii="Times New Roman" w:hAnsi="Times New Roman" w:eastAsia="仿宋" w:cs="Times New Roman"/>
                <w:b/>
                <w:color w:val="auto"/>
                <w:kern w:val="2"/>
                <w:sz w:val="21"/>
                <w:szCs w:val="21"/>
                <w:lang w:val="en-US"/>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陆生生态</w:t>
            </w:r>
          </w:p>
        </w:tc>
        <w:tc>
          <w:tcPr>
            <w:tcW w:w="2104" w:type="pct"/>
            <w:vAlign w:val="center"/>
          </w:tcPr>
          <w:p>
            <w:r>
              <w:t>1.1预防措施</w:t>
              <w:br/>
              <w:t>（1）合理调配土石方</w:t>
              <w:br/>
              <w:t>基坑开挖等工程建设所产生的土石方可以用于场地的平整。</w:t>
              <w:br/>
              <w:t>（2）规范施工</w:t>
              <w:br/>
              <w:t>①优化工程施工工艺。在施工过程中应先将厂区周边的拦挡墙和排水沟布设好，避免生产中造成水土流失；</w:t>
              <w:br/>
              <w:t>②合理设计施工时序，尽量缩短施工周期，减少疏松地面的裸露时间，尽量避开雨季和汛期施工；</w:t>
              <w:br/>
              <w:t>（3）对水土保持方案已实施的水土保持工程，应加强管理，建立相应管护制度，并定期进行水土保持监测工作。</w:t>
              <w:br/>
              <w:t>1.2临时措施</w:t>
              <w:br/>
              <w:t>临时措施主要是指在工程施工期间对开挖的土石方所采取的水土保持防护措施，一般是在主体工程施工前或与主体工程施工同时进行。施工过程中的水土流失具有易流失和流失量大的特点，必须进行防护，防护措施包括以下几个方面：</w:t>
              <w:br/>
              <w:t>（1）在施工前，应首先进行地表清理，将地表熟土层集中堆放在临时堆土场区，施工完毕后，熟土层应均匀地铺在地表，用于土地的复垦与种植；将基础开挖的临时弃土集中堆放在临时堆土场区，施工完毕后，全部回填。在施工期间，临时堆土场集中堆放的表土和集中堆放的弃土，需要布设临时排水沟和沉沙池，并与主体工程的排水系统相连接，防止弃土随地表径流流失。</w:t>
              <w:br/>
              <w:t>（2）工程建设区土建施工要尽量避开雨季。</w:t>
              <w:br/>
              <w:t>（3）各施工区域临时占地区域挖方首先用于回填利用，对于挖方不能立即回填的，其堆放场所要做好临时防护措施。</w:t>
              <w:br/>
              <w:t>（4）所有建筑工地排水、设备清洗水要集中处理，尽量重复利用，对施工场所进行喷洒，减少地面起尘。</w:t>
              <w:br/>
              <w:t>（5）各区域施工期产生的建筑垃圾，要及时清运，堆放至指定的场所，并进行平整、碾压、土层覆盖。</w:t>
              <w:br/>
              <w:t>（6）各施工场地平整时，要结合地形条件采用削坡或分级开挖形式进行，要求在各开挖面和临时堆存土料采取临时的拦挡和截排水措施。</w:t>
            </w:r>
          </w:p>
        </w:tc>
        <w:tc>
          <w:tcPr>
            <w:tcW w:w="449"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施工临时占地均得到恢复，游侠控制水土流失影响</w:t>
            </w:r>
          </w:p>
        </w:tc>
        <w:tc>
          <w:tcPr>
            <w:tcW w:w="1395"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在风电场设置鸟类警示色及采取引鸟策略，根据鸟类的视觉特征，在电站场址周边设置对鸟类具有警示作用的颜色，提醒鸟类对障碍物的识别，减少碰撞几率，引导鸟类飞行路线避开光伏电板区域。拟建立鸟类监测救护站，协同当地的林业管理部门、保护区管理处等机构组织专业人员，开展工程区域鸟种类和数量监测研究，为鸟类保护设计提供经验资料，并在必要时对受伤鸟类实施救护</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②加强生态恢复措施的管养，保证生态恢复措施的实施效果</w:t>
            </w:r>
          </w:p>
        </w:tc>
        <w:tc>
          <w:tcPr>
            <w:tcW w:w="525"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运行期不对周边生态环境产生不良影响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水生生态</w:t>
            </w:r>
          </w:p>
        </w:tc>
        <w:tc>
          <w:tcPr>
            <w:tcW w:w="2104" w:type="pct"/>
            <w:vAlign w:val="top"/>
          </w:tcPr>
          <w:p>
            <w:pPr>
              <w:rPr>
                <w:rFonts w:hint="default" w:ascii="Times New Roman" w:hAnsi="Times New Roman" w:eastAsia="仿宋" w:cs="Times New Roman"/>
                <w:color w:val="auto"/>
              </w:rPr>
            </w:pPr>
            <w:r>
              <w:rPr>
                <w:rFonts w:hint="default" w:ascii="Times New Roman" w:hAnsi="Times New Roman" w:eastAsia="仿宋" w:cs="Times New Roman"/>
                <w:color w:val="auto"/>
              </w:rPr>
              <w:t>①进一步优化施工方案，禁止在水域附近堆放施工材料、停放施工车辆和进行弃渣平整，优化临时施工场地布设，尽量远离水体，避免因临时施工场地产生的废水、弃渣等对水生生物产生影响。</w:t>
            </w:r>
          </w:p>
          <w:p>
            <w:pPr>
              <w:rPr>
                <w:rFonts w:hint="default" w:ascii="Times New Roman" w:hAnsi="Times New Roman" w:eastAsia="仿宋" w:cs="Times New Roman"/>
                <w:color w:val="auto"/>
              </w:rPr>
            </w:pPr>
            <w:r>
              <w:rPr>
                <w:rFonts w:hint="default" w:ascii="Times New Roman" w:hAnsi="Times New Roman" w:eastAsia="仿宋" w:cs="Times New Roman"/>
                <w:color w:val="auto"/>
              </w:rPr>
              <w:t>②划定严格的施工范围，严格控制施工作业面，临水区域作业提前做好围挡措施，并做好施工废弃物的处理，施工废弃物进行统一收集，安全化处理。禁止向水体中倾倒施工废弃物。</w:t>
            </w:r>
          </w:p>
          <w:p>
            <w:pPr>
              <w:rPr>
                <w:rFonts w:hint="default" w:ascii="Times New Roman" w:hAnsi="Times New Roman" w:eastAsia="仿宋" w:cs="Times New Roman"/>
                <w:color w:val="auto"/>
              </w:rPr>
            </w:pPr>
            <w:r>
              <w:rPr>
                <w:rFonts w:hint="default" w:ascii="Times New Roman" w:hAnsi="Times New Roman" w:eastAsia="仿宋" w:cs="Times New Roman"/>
                <w:color w:val="auto"/>
              </w:rPr>
              <w:t>③禁止在各风机点位附近冲洗车辆，防止含油废水进入水体，施工污水和生产废水禁止任意排放，对生产、生活污水进行处理后进行回用。</w:t>
            </w:r>
          </w:p>
          <w:p>
            <w:pPr>
              <w:rPr>
                <w:rFonts w:hint="default" w:ascii="Times New Roman" w:hAnsi="Times New Roman" w:eastAsia="仿宋" w:cs="Times New Roman"/>
                <w:color w:val="auto"/>
              </w:rPr>
            </w:pPr>
            <w:r>
              <w:rPr>
                <w:rFonts w:hint="default" w:ascii="Times New Roman" w:hAnsi="Times New Roman" w:eastAsia="仿宋" w:cs="Times New Roman"/>
                <w:color w:val="auto"/>
              </w:rPr>
              <w:t>④施工期间，风机区域运输建筑材料的车辆需加盖篷布遮挡，禁止漏油、漏料的罐装车和超载车驶入该区域，贯彻落实危险物品运输车辆安全通过及事故处理的保证措施。</w:t>
            </w:r>
          </w:p>
          <w:p>
            <w:pPr>
              <w:rPr>
                <w:rFonts w:hint="default" w:ascii="Times New Roman" w:hAnsi="Times New Roman" w:eastAsia="仿宋" w:cs="Times New Roman"/>
                <w:color w:val="auto"/>
              </w:rPr>
            </w:pPr>
            <w:r>
              <w:rPr>
                <w:rFonts w:hint="default" w:ascii="Times New Roman" w:hAnsi="Times New Roman" w:eastAsia="仿宋" w:cs="Times New Roman"/>
                <w:color w:val="auto"/>
              </w:rPr>
              <w:t>⑤施工期间加强对施工人员的环境保护宣传教育，提高施工人员的水环境保护意识，使其在施工过程中能够自觉保护水生生态环境，并遵守相关的生态保护规定；严禁在施工区附近河段进行捕鱼或从事其他有碍水生生态环境保护的行为。</w:t>
            </w:r>
          </w:p>
        </w:tc>
        <w:tc>
          <w:tcPr>
            <w:tcW w:w="449" w:type="pct"/>
            <w:vAlign w:val="top"/>
          </w:tcPr>
          <w:p>
            <w:pPr>
              <w:rPr>
                <w:rFonts w:hint="default" w:ascii="Times New Roman" w:hAnsi="Times New Roman" w:eastAsia="仿宋" w:cs="Times New Roman"/>
                <w:color w:val="auto"/>
              </w:rPr>
            </w:pPr>
            <w:r>
              <w:rPr>
                <w:rFonts w:hint="default" w:ascii="Times New Roman" w:hAnsi="Times New Roman" w:eastAsia="仿宋" w:cs="Times New Roman"/>
                <w:color w:val="auto"/>
              </w:rPr>
              <w:t>施工期不对</w:t>
            </w:r>
          </w:p>
          <w:p>
            <w:pPr>
              <w:rPr>
                <w:rFonts w:hint="default" w:ascii="Times New Roman" w:hAnsi="Times New Roman" w:eastAsia="仿宋" w:cs="Times New Roman"/>
                <w:color w:val="auto"/>
              </w:rPr>
            </w:pPr>
            <w:r>
              <w:rPr>
                <w:rFonts w:hint="default" w:ascii="Times New Roman" w:hAnsi="Times New Roman" w:eastAsia="仿宋" w:cs="Times New Roman"/>
                <w:color w:val="auto"/>
              </w:rPr>
              <w:t>项目区域水</w:t>
            </w:r>
          </w:p>
          <w:p>
            <w:pPr>
              <w:rPr>
                <w:rFonts w:hint="default" w:ascii="Times New Roman" w:hAnsi="Times New Roman" w:eastAsia="仿宋" w:cs="Times New Roman"/>
                <w:color w:val="auto"/>
              </w:rPr>
            </w:pPr>
            <w:r>
              <w:rPr>
                <w:rFonts w:hint="default" w:ascii="Times New Roman" w:hAnsi="Times New Roman" w:eastAsia="仿宋" w:cs="Times New Roman"/>
                <w:color w:val="auto"/>
              </w:rPr>
              <w:t>生生态产生</w:t>
            </w:r>
          </w:p>
          <w:p>
            <w:pPr>
              <w:rPr>
                <w:rFonts w:hint="default" w:ascii="Times New Roman" w:hAnsi="Times New Roman" w:eastAsia="仿宋" w:cs="Times New Roman"/>
                <w:color w:val="auto"/>
              </w:rPr>
            </w:pPr>
            <w:r>
              <w:rPr>
                <w:rFonts w:hint="default" w:ascii="Times New Roman" w:hAnsi="Times New Roman" w:eastAsia="仿宋" w:cs="Times New Roman"/>
                <w:color w:val="auto"/>
              </w:rPr>
              <w:t>不良影响</w:t>
            </w:r>
          </w:p>
        </w:tc>
        <w:tc>
          <w:tcPr>
            <w:tcW w:w="1395" w:type="pct"/>
            <w:vAlign w:val="top"/>
          </w:tcPr>
          <w:p>
            <w:pPr>
              <w:rPr>
                <w:rFonts w:hint="default" w:ascii="Times New Roman" w:hAnsi="Times New Roman" w:eastAsia="仿宋" w:cs="Times New Roman"/>
                <w:color w:val="auto"/>
              </w:rPr>
            </w:pPr>
            <w:r>
              <w:rPr>
                <w:rFonts w:hint="default" w:ascii="Times New Roman" w:hAnsi="Times New Roman" w:eastAsia="仿宋" w:cs="Times New Roman"/>
                <w:color w:val="auto"/>
              </w:rPr>
              <w:t>本项目为清洁能源项目，本身不产生大气污染和水污染，也不产生废渣，运营期升压站生活污水经一体化污水处理设施处理后回用，不外排，且本项目不直接涉及水体，在切实落实水土保持的各项措施后，工程运行对区域水生生态影响较小。</w:t>
            </w:r>
          </w:p>
        </w:tc>
        <w:tc>
          <w:tcPr>
            <w:tcW w:w="52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地表水环境</w:t>
            </w:r>
          </w:p>
        </w:tc>
        <w:tc>
          <w:tcPr>
            <w:tcW w:w="2104" w:type="pct"/>
            <w:vAlign w:val="center"/>
          </w:tcPr>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机械修配废水：</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施工期产生的机械修配废水采用隔油池处理后进行回用</w:t>
            </w:r>
          </w:p>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生活污水：</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施工人员产生的生活污水采用施工区营地设置的化粪池处理后回用于周边绿地灌溉</w:t>
            </w:r>
          </w:p>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地表水环境：</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①下阶段选址时进一步优化检修道路选线及风机布置，尽量远离周边地表水体。</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加强施工管理，优化施工时序，尽量避开雨季挖填施工。暴雨天不进行施工作业，防止施工产生的土方随地表径流进入水体。应在雨季到来之前完成相应的拦截措施，施工时做到“先防护，后施工”，在施工场地汇水区域下方，设置排水沟和沉淀池。</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③新建及改造检修道路施工时，设置截排水沟将地表水流排至平缓地段，减少径流对土壤的冲刷。在截排水沟的末端设置沉砂池，对地表水流进行沉淀处理后再排出。</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④开挖土石方应及时清理、合理堆放，严格落实各项水土保持工程、生态管理措施，施工结束后及时绿化恢复，确保降雨时地表径流悬浮物浓度得到有效控制，不污染水体环境。</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⑤设立警示牌，规范施工行为，加强施工管理，严禁向周边地表水体乱扔建筑垃圾、塑料袋等生活垃圾。</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⑥施工完成后，及时绿化恢复，严格执行各项水土保持工程措施、生物措施和管理措施，确保降雨时地表径流悬浮物浓度得到有效控制，不污染水体环境。</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⑦施工临时场地的设置应尽量远离周边地表水体进行布置，同时在水体附近施工时，应加强对含油设施（包括车辆和施工设备）的管理，避免油类物质进入附近水体，同时严禁在水体附近冲洗含油器械及车辆。</w:t>
            </w:r>
          </w:p>
        </w:tc>
        <w:tc>
          <w:tcPr>
            <w:tcW w:w="449"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施工期废、污水均得到合理处置，且施工期不对周边地表水体产生污染影响</w:t>
            </w:r>
          </w:p>
        </w:tc>
        <w:tc>
          <w:tcPr>
            <w:tcW w:w="139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运检人员产生的生活污水经隔油池、化粪池、地埋式一体化生活污水处理装置（处理能力</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rPr>
              <w:t>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/h）处理达到《农田灌溉水质标准》（GB5084-20</w:t>
            </w:r>
            <w:r>
              <w:rPr>
                <w:rFonts w:hint="default" w:ascii="Times New Roman" w:hAnsi="Times New Roman" w:eastAsia="仿宋" w:cs="Times New Roman"/>
                <w:color w:val="auto"/>
                <w:szCs w:val="21"/>
                <w:lang w:val="en-US" w:eastAsia="zh-CN"/>
              </w:rPr>
              <w:t>21</w:t>
            </w:r>
            <w:r>
              <w:rPr>
                <w:rFonts w:hint="default" w:ascii="Times New Roman" w:hAnsi="Times New Roman" w:eastAsia="仿宋" w:cs="Times New Roman"/>
                <w:color w:val="auto"/>
                <w:szCs w:val="21"/>
              </w:rPr>
              <w:t>）中</w:t>
            </w:r>
            <w:r>
              <w:rPr>
                <w:rFonts w:hint="eastAsia" w:eastAsia="仿宋" w:cs="Times New Roman"/>
                <w:color w:val="auto"/>
                <w:szCs w:val="21"/>
                <w:lang w:val="en-US" w:eastAsia="zh-CN"/>
              </w:rPr>
              <w:t>旱作</w:t>
            </w:r>
            <w:r>
              <w:rPr>
                <w:rFonts w:hint="default" w:ascii="Times New Roman" w:hAnsi="Times New Roman" w:eastAsia="仿宋" w:cs="Times New Roman"/>
                <w:color w:val="auto"/>
                <w:szCs w:val="21"/>
              </w:rPr>
              <w:t>标准后回用于站区绿化灌溉，不外排</w:t>
            </w:r>
          </w:p>
        </w:tc>
        <w:tc>
          <w:tcPr>
            <w:tcW w:w="52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运检人员产生的生活污水不外排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声环境</w:t>
            </w:r>
          </w:p>
        </w:tc>
        <w:tc>
          <w:tcPr>
            <w:tcW w:w="2104"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固定声源噪声控制措施：</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①合理安排高噪声机械使用时间，避免在中午期间进行高噪声施工作业。</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②尽量采用较先进、噪声较低的施工设备；对噪声较大的施工机械采取适当的隔声措施，离居民点较近的一侧施工区域应设置围障。</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③对动力机械设备定期进行维修和养护，使其保持良好的运行工况。避免因松动部件振动或消声器损坏而加大设备工作时的声级。</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④运输车辆在进入施工区附近区域后，要适当降低车速，避免或杜绝鸣笛。</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建设单位在施工期应严格控制噪声源，不得超过《建筑施工场界环境噪声排放标准》（GB12523-2011）所列标准值。</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交通运输噪声控制措施：</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①尽量采用低噪声机械设备，施工过程中应经常对设备进行维修保养，避免由于设备故障而导致噪声增强现象的发生。</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本工程施工噪声影响主要体现在改建进场道路对沿线居民的影响。夜间施工噪声较大，对敏感点影响明显，因此夜间（22：00~6：00）不施工，不存在夜间施工噪声影响，可以保证敏感点居民夜间睡眠所需的声环境质量。午休时间（中午12：00~1：30）应暂停作业，避免影响附近居民的午间休息。</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③利用进场道路进行施工物料运输时，注意调整运输时间，尽量在白天运输，且不在午休时间运输。在途径居民敏感点时，应减速慢行，禁止鸣笛。</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④施工单位在施工现场张贴通告和投诉电话，争取得到当地群众的理解和支持，建设单位在接到投诉后应及时与当地环保部门联系，以便及时处理各种环境纠纷。</w:t>
            </w:r>
          </w:p>
        </w:tc>
        <w:tc>
          <w:tcPr>
            <w:tcW w:w="449"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施工期不发生噪声扰民事件</w:t>
            </w:r>
          </w:p>
        </w:tc>
        <w:tc>
          <w:tcPr>
            <w:tcW w:w="1395" w:type="pct"/>
            <w:vAlign w:val="top"/>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噪声控制措施：</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（1）风力发电机组</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A、技术上</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噪声源：选用低噪声设备，风机厂商在制造时对风机采取以下措施：风电机选用隔音防震型，变速齿轮箱为减噪型，机舱内表面贴覆阻尼隔声材料，叶片用减速叶片。提高安装精度，加强运行期管理，使齿轮和轴承保持良好的润滑条件。建设单位采购设备时选用低噪声设备具有可行性。同时，建设单位在后期采购设备时，应当对风力发电机组加装降噪风管。</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②受声点：对声环境影响评价范围内受噪声影响较大的常住居民采取搬迁或补偿措施。</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B、管理上</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建设单位在项目运行过程中进一步加强与风电场周边当地居民的沟通，并开展噪声跟踪监测，如出现居民点噪声超标，及时采取相应的减缓措施或者搬迁。</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（2）升压站</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优选低噪声设备，确保升压站厂界噪声达标排放。</w:t>
            </w:r>
          </w:p>
        </w:tc>
        <w:tc>
          <w:tcPr>
            <w:tcW w:w="525" w:type="pct"/>
            <w:vAlign w:val="top"/>
          </w:tcPr>
          <w:p>
            <w:pPr>
              <w:pStyle w:val="82"/>
              <w:spacing w:before="68" w:line="236" w:lineRule="auto"/>
              <w:ind w:left="118" w:leftChars="0" w:right="103" w:rightChars="0" w:firstLine="1" w:firstLineChars="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kern w:val="2"/>
                <w:sz w:val="21"/>
                <w:szCs w:val="21"/>
                <w:lang w:val="en-US" w:eastAsia="zh-CN" w:bidi="ar-SA"/>
              </w:rPr>
              <w:t>风电场区域声环境质量达标；升压站运行期厂界噪声达标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大气环境</w:t>
            </w:r>
          </w:p>
        </w:tc>
        <w:tc>
          <w:tcPr>
            <w:tcW w:w="2104" w:type="pct"/>
            <w:vAlign w:val="center"/>
          </w:tcPr>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（1）砂石料堆场扬尘</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对砂石堆场采取苫盖以及设置顶棚、围墙等措施，防止堆场砂土随风飞扬产生扬尘污染。</w:t>
            </w:r>
          </w:p>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（2）土石方开挖、回填及临时堆土场扬尘</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①土方回填后的剩余土石方及时清运，尽快恢复植被，减少扬尘。</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②加强施工管理，提倡文明施工，避免在大风天施工，尤其是引起地表大面积扰动的作业。</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③按照《大气污染防治行动计划》和《环境空气细颗粒物污染综合防治技术政策》要求，对粉状物料贮存场所，应采取防尘网和防尘抑尘措施，防止颗粒物逸散。</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④在距离周边集中居民区特别是学校等区域较近时，建议在施工场地周边设置临时围挡，减轻施工扬尘对周边大气环境的影响。</w:t>
            </w:r>
          </w:p>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（3）交通运输扬尘</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①加强道路管理和维护，保持路面平坦清洁，无雨日要勤洒水；配备公路养护、维修、清扫队伍，使道路处于良好的运作状态，削减车辆运输产生的扬尘。</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按照《大气污染防治行动计划》和《环境空气细颗粒物污染综合防治技术政策》要求，在物资运输过程中注意防止环境空气污染。水泥、石灰、粉煤灰等细颗粒材料运输采用密封罐车；采用敞篷车运输，用篷布遮盖；装卸、堆放中应防止物料流散；设置车辆清洗装置，保持上路行驶车辆清洁。</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③在施工区控制车速，靠近敏感区行驶的车辆，车速不得超过20km/h，同时施工运输车辆行驶路线应尽量避开集中居民区提别是学校等环境保护目标。</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施工期结束后，交通粉尘浓度大幅降低，对当地局部环境空气质量影响不大。</w:t>
            </w:r>
          </w:p>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（4）燃料废气</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①严格执行《机动车强制报废标准规定》，推行强制更新报废制度，特别是发动机耗油多、效率低、排放尾气严重超标的老旧车辆，应予以更新。</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②选用符合国家有关卫生标准的施工机械和运输车辆，使用符合标准的油料或清洁能源，使其排放的废气能够达到国家标准。加强对燃油机械设备的维护和保养，使发动机处于正常、良好的工作状态。</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项目施工区域地势较空旷，空气稀释能力较强，燃油烟气及汽车尾气排放后，经空气迅速稀释扩散，不会对周边环境产生明显的影响。</w:t>
            </w:r>
          </w:p>
        </w:tc>
        <w:tc>
          <w:tcPr>
            <w:tcW w:w="449"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施工扬尘对周边大气环境影响较小</w:t>
            </w:r>
          </w:p>
        </w:tc>
        <w:tc>
          <w:tcPr>
            <w:tcW w:w="139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52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固体废物</w:t>
            </w:r>
          </w:p>
        </w:tc>
        <w:tc>
          <w:tcPr>
            <w:tcW w:w="2104" w:type="pct"/>
            <w:vAlign w:val="center"/>
          </w:tcPr>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（1）生活垃圾</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施工期间施工人员产生的生活垃圾经施工营地设置的垃圾桶集中收集至临时垃圾收集点后统一清运处理。</w:t>
            </w:r>
          </w:p>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（2）建筑垃圾</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产生的建筑垃圾主要为建筑废弃料、安装材料边角料、废包装材料等，建筑废弃料等可回收利用的回用于回填光伏电站区域内检修道路，不可回收的安装边角料、废包装材料等建筑垃圾集中收集至临时垃圾收集点后统一清运处理。</w:t>
            </w:r>
          </w:p>
        </w:tc>
        <w:tc>
          <w:tcPr>
            <w:tcW w:w="449"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施工期不对外环境产生污染影响</w:t>
            </w:r>
          </w:p>
        </w:tc>
        <w:tc>
          <w:tcPr>
            <w:tcW w:w="1395" w:type="pct"/>
            <w:vAlign w:val="center"/>
          </w:tcPr>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（1）生活垃圾</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运检人员产生的生活垃圾经集中收集后统一清运处理。</w:t>
            </w:r>
          </w:p>
          <w:p>
            <w:pPr>
              <w:adjustRightInd w:val="0"/>
              <w:snapToGrid w:val="0"/>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（2）危险废物</w:t>
            </w:r>
          </w:p>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运行过程中产生的废变压器油、废铅酸蓄电池等在升压站内设置的危废暂存间进行暂存后交由有相应资质的单位进行处理</w:t>
            </w:r>
          </w:p>
        </w:tc>
        <w:tc>
          <w:tcPr>
            <w:tcW w:w="525"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运行期生活垃圾不外排；危险废物合理处置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电磁环境</w:t>
            </w:r>
          </w:p>
        </w:tc>
        <w:tc>
          <w:tcPr>
            <w:tcW w:w="2104"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449"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395" w:type="pct"/>
            <w:vAlign w:val="center"/>
          </w:tcPr>
          <w:p>
            <w:pPr>
              <w:adjustRightInd w:val="0"/>
              <w:snapToGrid w:val="0"/>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升压站、外送线路电磁环境影响评价</w:t>
            </w:r>
            <w:r>
              <w:rPr>
                <w:rFonts w:hint="default" w:ascii="Times New Roman" w:hAnsi="Times New Roman" w:eastAsia="仿宋" w:cs="Times New Roman"/>
                <w:color w:val="auto"/>
                <w:szCs w:val="21"/>
              </w:rPr>
              <w:t>另行办理环评手续</w:t>
            </w:r>
          </w:p>
        </w:tc>
        <w:tc>
          <w:tcPr>
            <w:tcW w:w="52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Merge w:val="restar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环境风险</w:t>
            </w:r>
          </w:p>
        </w:tc>
        <w:tc>
          <w:tcPr>
            <w:tcW w:w="2104" w:type="pct"/>
            <w:vMerge w:val="restar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449" w:type="pct"/>
            <w:vMerge w:val="restar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395" w:type="pct"/>
            <w:vAlign w:val="center"/>
          </w:tcPr>
          <w:p>
            <w:pPr>
              <w:adjustRightInd w:val="0"/>
              <w:snapToGrid w:val="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总事故油池及变压器下部的集油坑均采取防渗处理，抗渗等级达到P6；有效容积满足升压站内单台最大油量主变压器事故状态下变压器油100%不外排的需求的事故油池1座</w:t>
            </w:r>
          </w:p>
        </w:tc>
        <w:tc>
          <w:tcPr>
            <w:tcW w:w="525" w:type="pct"/>
            <w:vAlign w:val="center"/>
          </w:tcPr>
          <w:p>
            <w:pPr>
              <w:pStyle w:val="65"/>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站内变压器油事故状态下变压器油不外排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Merge w:val="continue"/>
            <w:vAlign w:val="center"/>
          </w:tcPr>
          <w:p>
            <w:pPr>
              <w:adjustRightInd w:val="0"/>
              <w:snapToGrid w:val="0"/>
              <w:jc w:val="center"/>
              <w:rPr>
                <w:rFonts w:hint="default" w:ascii="Times New Roman" w:hAnsi="Times New Roman" w:eastAsia="仿宋" w:cs="Times New Roman"/>
                <w:b/>
                <w:color w:val="auto"/>
                <w:kern w:val="0"/>
                <w:szCs w:val="21"/>
              </w:rPr>
            </w:pPr>
          </w:p>
        </w:tc>
        <w:tc>
          <w:tcPr>
            <w:tcW w:w="2104" w:type="pct"/>
            <w:vMerge w:val="continue"/>
            <w:vAlign w:val="center"/>
          </w:tcPr>
          <w:p>
            <w:pPr>
              <w:adjustRightInd w:val="0"/>
              <w:snapToGrid w:val="0"/>
              <w:jc w:val="center"/>
              <w:rPr>
                <w:rFonts w:hint="default" w:ascii="Times New Roman" w:hAnsi="Times New Roman" w:eastAsia="仿宋" w:cs="Times New Roman"/>
                <w:color w:val="auto"/>
                <w:szCs w:val="21"/>
              </w:rPr>
            </w:pPr>
          </w:p>
        </w:tc>
        <w:tc>
          <w:tcPr>
            <w:tcW w:w="449" w:type="pct"/>
            <w:vMerge w:val="continue"/>
            <w:vAlign w:val="center"/>
          </w:tcPr>
          <w:p>
            <w:pPr>
              <w:adjustRightInd w:val="0"/>
              <w:snapToGrid w:val="0"/>
              <w:jc w:val="center"/>
              <w:rPr>
                <w:rFonts w:hint="default" w:ascii="Times New Roman" w:hAnsi="Times New Roman" w:eastAsia="仿宋" w:cs="Times New Roman"/>
                <w:color w:val="auto"/>
                <w:szCs w:val="21"/>
              </w:rPr>
            </w:pPr>
          </w:p>
        </w:tc>
        <w:tc>
          <w:tcPr>
            <w:tcW w:w="1395" w:type="pct"/>
            <w:vAlign w:val="center"/>
          </w:tcPr>
          <w:p>
            <w:pPr>
              <w:adjustRightInd w:val="0"/>
              <w:snapToGrid w:val="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面积约</w:t>
            </w:r>
            <w:r>
              <w:rPr>
                <w:rFonts w:hint="eastAsia" w:eastAsia="仿宋" w:cs="Times New Roman"/>
                <w:color w:val="auto"/>
                <w:szCs w:val="21"/>
                <w:lang w:val="en-US" w:eastAsia="zh-CN"/>
              </w:rPr>
              <w:t>10.2</w:t>
            </w:r>
            <w:r>
              <w:rPr>
                <w:rFonts w:hint="default" w:ascii="Times New Roman" w:hAnsi="Times New Roman" w:eastAsia="仿宋" w:cs="Times New Roman"/>
                <w:color w:val="auto"/>
                <w:szCs w:val="21"/>
              </w:rPr>
              <w:t>m</w:t>
            </w:r>
            <w:r>
              <w:rPr>
                <w:rFonts w:hint="default" w:ascii="Times New Roman" w:hAnsi="Times New Roman" w:eastAsia="仿宋" w:cs="Times New Roman"/>
                <w:color w:val="auto"/>
                <w:szCs w:val="21"/>
                <w:vertAlign w:val="superscript"/>
              </w:rPr>
              <w:t>2</w:t>
            </w:r>
            <w:r>
              <w:rPr>
                <w:rFonts w:hint="default" w:ascii="Times New Roman" w:hAnsi="Times New Roman" w:eastAsia="仿宋" w:cs="Times New Roman"/>
                <w:color w:val="auto"/>
                <w:szCs w:val="21"/>
              </w:rPr>
              <w:t>的危废暂存间1座</w:t>
            </w:r>
          </w:p>
        </w:tc>
        <w:tc>
          <w:tcPr>
            <w:tcW w:w="525" w:type="pct"/>
            <w:vAlign w:val="center"/>
          </w:tcPr>
          <w:p>
            <w:pPr>
              <w:pStyle w:val="65"/>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光伏电站运行期间产生的危废暂存于危废暂存间内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Merge w:val="continue"/>
            <w:vAlign w:val="center"/>
          </w:tcPr>
          <w:p>
            <w:pPr>
              <w:adjustRightInd w:val="0"/>
              <w:snapToGrid w:val="0"/>
              <w:jc w:val="center"/>
              <w:rPr>
                <w:rFonts w:hint="default" w:ascii="Times New Roman" w:hAnsi="Times New Roman" w:eastAsia="仿宋" w:cs="Times New Roman"/>
                <w:b/>
                <w:color w:val="auto"/>
                <w:kern w:val="0"/>
                <w:szCs w:val="21"/>
              </w:rPr>
            </w:pPr>
          </w:p>
        </w:tc>
        <w:tc>
          <w:tcPr>
            <w:tcW w:w="2104"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449"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395" w:type="pct"/>
            <w:vAlign w:val="center"/>
          </w:tcPr>
          <w:p>
            <w:pPr>
              <w:adjustRightInd w:val="0"/>
              <w:snapToGrid w:val="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建立包含变压器事故漏油的安全生产事故应急预案，并每年进行定期或不定期培训、演练</w:t>
            </w:r>
          </w:p>
        </w:tc>
        <w:tc>
          <w:tcPr>
            <w:tcW w:w="525" w:type="pct"/>
            <w:vAlign w:val="center"/>
          </w:tcPr>
          <w:p>
            <w:pPr>
              <w:pStyle w:val="65"/>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制定环境风险应急预案并定期演练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Merge w:val="continue"/>
            <w:vAlign w:val="center"/>
          </w:tcPr>
          <w:p>
            <w:pPr>
              <w:adjustRightInd w:val="0"/>
              <w:snapToGrid w:val="0"/>
              <w:jc w:val="center"/>
              <w:rPr>
                <w:rFonts w:hint="default" w:ascii="Times New Roman" w:hAnsi="Times New Roman" w:eastAsia="仿宋" w:cs="Times New Roman"/>
                <w:b/>
                <w:color w:val="auto"/>
                <w:kern w:val="0"/>
                <w:szCs w:val="21"/>
              </w:rPr>
            </w:pPr>
          </w:p>
        </w:tc>
        <w:tc>
          <w:tcPr>
            <w:tcW w:w="2104"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449"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395" w:type="pct"/>
            <w:vAlign w:val="center"/>
          </w:tcPr>
          <w:p>
            <w:pPr>
              <w:adjustRightInd w:val="0"/>
              <w:snapToGrid w:val="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事故排放的变压器油经事故集油池收集后回收处理利用；不能回收的要交由有资质的单位进行处置，同时该单位要按照《危险废物转移联单管理办法》，实施危险废物转移联单制度并按照规定制作标志标识</w:t>
            </w:r>
          </w:p>
        </w:tc>
        <w:tc>
          <w:tcPr>
            <w:tcW w:w="525" w:type="pct"/>
            <w:vAlign w:val="center"/>
          </w:tcPr>
          <w:p>
            <w:pPr>
              <w:pStyle w:val="65"/>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与有相应危险废物处置资质的单位签订危废处置协议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环境监测</w:t>
            </w:r>
          </w:p>
        </w:tc>
        <w:tc>
          <w:tcPr>
            <w:tcW w:w="2104"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449"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39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制定监测计划，监测运行期环境要素及评价因子的变化。</w:t>
            </w:r>
          </w:p>
        </w:tc>
        <w:tc>
          <w:tcPr>
            <w:tcW w:w="525" w:type="pct"/>
            <w:vAlign w:val="center"/>
          </w:tcPr>
          <w:p>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监测结果满足相应的法律法规要求。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pct"/>
            <w:vAlign w:val="center"/>
          </w:tcPr>
          <w:p>
            <w:pPr>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其他</w:t>
            </w:r>
          </w:p>
        </w:tc>
        <w:tc>
          <w:tcPr>
            <w:tcW w:w="2104"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449"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39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525" w:type="pct"/>
            <w:vAlign w:val="center"/>
          </w:tcPr>
          <w:p>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bl>
    <w:p>
      <w:pPr>
        <w:pStyle w:val="17"/>
        <w:spacing w:before="0" w:beforeAutospacing="0" w:line="14" w:lineRule="auto"/>
        <w:jc w:val="both"/>
        <w:outlineLvl w:val="0"/>
        <w:rPr>
          <w:rFonts w:hint="default" w:ascii="Times New Roman" w:hAnsi="Times New Roman" w:eastAsia="仿宋" w:cs="Times New Roman"/>
          <w:snapToGrid w:val="0"/>
          <w:color w:val="auto"/>
          <w:sz w:val="30"/>
          <w:szCs w:val="30"/>
        </w:rPr>
        <w:sectPr>
          <w:pgSz w:w="16838" w:h="11906" w:orient="landscape"/>
          <w:pgMar w:top="1800" w:right="1440" w:bottom="1800" w:left="1440" w:header="851" w:footer="1077" w:gutter="0"/>
          <w:cols w:space="425" w:num="1"/>
          <w:docGrid w:linePitch="312" w:charSpace="0"/>
        </w:sectPr>
      </w:pPr>
    </w:p>
    <w:p>
      <w:pPr>
        <w:pStyle w:val="17"/>
        <w:jc w:val="center"/>
        <w:outlineLvl w:val="0"/>
        <w:rPr>
          <w:rFonts w:hint="default" w:ascii="黑体" w:hAnsi="黑体" w:eastAsia="黑体" w:cs="黑体"/>
          <w:snapToGrid w:val="0"/>
          <w:color w:val="auto"/>
          <w:sz w:val="30"/>
          <w:szCs w:val="30"/>
        </w:rPr>
      </w:pPr>
      <w:bookmarkStart w:id="21" w:name="_Toc66980758"/>
      <w:r>
        <w:rPr>
          <w:rFonts w:hint="default" w:ascii="黑体" w:hAnsi="黑体" w:eastAsia="黑体" w:cs="黑体"/>
          <w:snapToGrid w:val="0"/>
          <w:color w:val="auto"/>
          <w:sz w:val="30"/>
          <w:szCs w:val="30"/>
        </w:rPr>
        <w:t>七、结论</w:t>
      </w:r>
      <w:bookmarkEnd w:id="21"/>
    </w:p>
    <w:tbl>
      <w:tblPr>
        <w:tblStyle w:val="21"/>
        <w:tblW w:w="92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9" w:hRule="atLeast"/>
          <w:jc w:val="center"/>
        </w:trPr>
        <w:tc>
          <w:tcPr>
            <w:tcW w:w="9289" w:type="dxa"/>
          </w:tcPr>
          <w:p>
            <w:pPr>
              <w:widowControl/>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综上分析，本项目符合</w:t>
            </w:r>
            <w:r>
              <w:rPr>
                <w:rFonts w:hint="eastAsia" w:eastAsia="仿宋" w:cs="Times New Roman"/>
                <w:color w:val="auto"/>
                <w:sz w:val="24"/>
                <w:lang w:eastAsia="zh-CN"/>
              </w:rPr>
              <w:t>巴中市南江县</w:t>
            </w:r>
            <w:r>
              <w:rPr>
                <w:rFonts w:hint="default" w:ascii="Times New Roman" w:hAnsi="Times New Roman" w:eastAsia="仿宋" w:cs="Times New Roman"/>
                <w:color w:val="auto"/>
                <w:sz w:val="24"/>
              </w:rPr>
              <w:t>建设总体规划及国家产业政策的要求，项目在建设中和建成运行后将产生一定的废气、废水、噪声及固体废物的污染，对当地的生态环境也将产生一定的影响，在建设单位严格按照本报告提出的各项规定，切实落实各项污染防治措施以后，项目对周围环境的影响可以控制在国家有关标准和要求的允许范围以内。本评价认为，从环保角度分析，本项目可以按拟定规模在拟定地点实施。</w:t>
            </w:r>
          </w:p>
          <w:p>
            <w:pPr>
              <w:adjustRightInd w:val="0"/>
              <w:snapToGrid w:val="0"/>
              <w:ind w:firstLine="315"/>
              <w:rPr>
                <w:rFonts w:hint="default" w:ascii="Times New Roman" w:hAnsi="Times New Roman" w:eastAsia="仿宋" w:cs="Times New Roman"/>
                <w:color w:val="auto"/>
                <w:sz w:val="24"/>
              </w:rPr>
            </w:pPr>
          </w:p>
        </w:tc>
      </w:tr>
    </w:tbl>
    <w:p>
      <w:pPr>
        <w:widowControl/>
        <w:adjustRightInd w:val="0"/>
        <w:snapToGrid w:val="0"/>
        <w:spacing w:before="192" w:beforeLines="80"/>
        <w:jc w:val="left"/>
        <w:rPr>
          <w:rFonts w:hint="default" w:ascii="Times New Roman" w:hAnsi="Times New Roman" w:eastAsia="仿宋" w:cs="Times New Roman"/>
          <w:color w:val="auto"/>
        </w:rPr>
      </w:pPr>
    </w:p>
    <w:sectPr>
      <w:pgSz w:w="11906" w:h="16838"/>
      <w:pgMar w:top="1440" w:right="1800" w:bottom="1440" w:left="1800" w:header="851" w:footer="107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decorative"/>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wordWrap w:val="0"/>
      <w:jc w:val="right"/>
    </w:pPr>
    <w:r>
      <w:rPr>
        <w:rFonts w:hint="eastAsia"/>
      </w:rPr>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8161614"/>
    </w:sdtPr>
    <w:sdtContent>
      <w:p>
        <w:pPr>
          <w:pStyle w:val="13"/>
          <w:jc w:val="center"/>
        </w:pPr>
        <w:r>
          <w:fldChar w:fldCharType="begin"/>
        </w:r>
        <w:r>
          <w:instrText xml:space="preserve">PAGE   \* MERGEFORMAT</w:instrText>
        </w:r>
        <w:r>
          <w:fldChar w:fldCharType="separate"/>
        </w:r>
        <w:r>
          <w:rPr>
            <w:lang w:val="zh-CN"/>
          </w:rPr>
          <w:t>19</w:t>
        </w:r>
        <w:r>
          <w:fldChar w:fldCharType="end"/>
        </w:r>
      </w:p>
    </w:sdtContent>
  </w:sdt>
  <w:p>
    <w:pPr>
      <w:pStyle w:val="13"/>
      <w:wordWrap w:val="0"/>
      <w:jc w:val="right"/>
    </w:pP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hint="eastAsia" w:eastAsia="宋体"/>
        <w:lang w:eastAsia="zh-CN"/>
      </w:rPr>
    </w:pPr>
    <w:r>
      <w:rPr>
        <w:rFonts w:hint="eastAsia"/>
        <w:lang w:eastAsia="zh-CN"/>
      </w:rPr>
      <w:t>巴中南江大河风电项目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35C178"/>
    <w:multiLevelType w:val="singleLevel"/>
    <w:tmpl w:val="D335C178"/>
    <w:lvl w:ilvl="0" w:tentative="0">
      <w:start w:val="1"/>
      <w:numFmt w:val="decimal"/>
      <w:lvlText w:val="%1."/>
      <w:lvlJc w:val="left"/>
      <w:pPr>
        <w:tabs>
          <w:tab w:val="left" w:pos="312"/>
        </w:tabs>
      </w:pPr>
    </w:lvl>
  </w:abstractNum>
  <w:abstractNum w:abstractNumId="1">
    <w:nsid w:val="3F1484AA"/>
    <w:multiLevelType w:val="singleLevel"/>
    <w:tmpl w:val="3F1484AA"/>
    <w:lvl w:ilvl="0" w:tentative="0">
      <w:start w:val="1"/>
      <w:numFmt w:val="decimal"/>
      <w:suff w:val="nothing"/>
      <w:lvlText w:val="%1、"/>
      <w:lvlJc w:val="left"/>
    </w:lvl>
  </w:abstractNum>
  <w:abstractNum w:abstractNumId="2">
    <w:nsid w:val="5036B7C1"/>
    <w:multiLevelType w:val="singleLevel"/>
    <w:tmpl w:val="5036B7C1"/>
    <w:lvl w:ilvl="0" w:tentative="0">
      <w:start w:val="1"/>
      <w:numFmt w:val="decimal"/>
      <w:lvlText w:val="%1."/>
      <w:lvlJc w:val="left"/>
      <w:pPr>
        <w:tabs>
          <w:tab w:val="left" w:pos="312"/>
        </w:tabs>
      </w:pPr>
    </w:lvl>
  </w:abstractNum>
  <w:abstractNum w:abstractNumId="3">
    <w:nsid w:val="741E41D9"/>
    <w:multiLevelType w:val="singleLevel"/>
    <w:tmpl w:val="741E41D9"/>
    <w:lvl w:ilvl="0" w:tentative="0">
      <w:start w:val="4"/>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 w:name="KSO_WPS_MARK_KEY" w:val="fd89a5fe-b3b1-4640-b11a-17b42916fac1"/>
  </w:docVars>
  <w:rsids>
    <w:rsidRoot w:val="00172A27"/>
    <w:rsid w:val="00001CED"/>
    <w:rsid w:val="00001E67"/>
    <w:rsid w:val="00003CD8"/>
    <w:rsid w:val="00014965"/>
    <w:rsid w:val="0001523A"/>
    <w:rsid w:val="0001570F"/>
    <w:rsid w:val="00016ECB"/>
    <w:rsid w:val="00016ECD"/>
    <w:rsid w:val="000237D6"/>
    <w:rsid w:val="000269F6"/>
    <w:rsid w:val="00031939"/>
    <w:rsid w:val="00032D25"/>
    <w:rsid w:val="00033D96"/>
    <w:rsid w:val="00035654"/>
    <w:rsid w:val="00037189"/>
    <w:rsid w:val="0003783B"/>
    <w:rsid w:val="000415CE"/>
    <w:rsid w:val="0005018A"/>
    <w:rsid w:val="0005219D"/>
    <w:rsid w:val="0005568F"/>
    <w:rsid w:val="0006153D"/>
    <w:rsid w:val="00061B1F"/>
    <w:rsid w:val="00061BAC"/>
    <w:rsid w:val="000664DB"/>
    <w:rsid w:val="0007127D"/>
    <w:rsid w:val="00071AE5"/>
    <w:rsid w:val="000722B1"/>
    <w:rsid w:val="00074783"/>
    <w:rsid w:val="00077F22"/>
    <w:rsid w:val="000801E0"/>
    <w:rsid w:val="00082A29"/>
    <w:rsid w:val="0008331D"/>
    <w:rsid w:val="00083C18"/>
    <w:rsid w:val="00092899"/>
    <w:rsid w:val="0009360D"/>
    <w:rsid w:val="000949E5"/>
    <w:rsid w:val="00095201"/>
    <w:rsid w:val="000A178E"/>
    <w:rsid w:val="000A4234"/>
    <w:rsid w:val="000A557E"/>
    <w:rsid w:val="000B058F"/>
    <w:rsid w:val="000B5C30"/>
    <w:rsid w:val="000B693F"/>
    <w:rsid w:val="000C09AC"/>
    <w:rsid w:val="000C0A63"/>
    <w:rsid w:val="000C437E"/>
    <w:rsid w:val="000C66AE"/>
    <w:rsid w:val="000C7963"/>
    <w:rsid w:val="000E2DAE"/>
    <w:rsid w:val="000E5F16"/>
    <w:rsid w:val="000F4452"/>
    <w:rsid w:val="000F4552"/>
    <w:rsid w:val="000F4685"/>
    <w:rsid w:val="000F6DA1"/>
    <w:rsid w:val="000F701B"/>
    <w:rsid w:val="00103E89"/>
    <w:rsid w:val="001056A0"/>
    <w:rsid w:val="00105903"/>
    <w:rsid w:val="00107FD1"/>
    <w:rsid w:val="00113917"/>
    <w:rsid w:val="00115279"/>
    <w:rsid w:val="00117459"/>
    <w:rsid w:val="0011749A"/>
    <w:rsid w:val="001257C2"/>
    <w:rsid w:val="00127A68"/>
    <w:rsid w:val="00130B2A"/>
    <w:rsid w:val="00137BF1"/>
    <w:rsid w:val="00140B13"/>
    <w:rsid w:val="00141B68"/>
    <w:rsid w:val="001466DA"/>
    <w:rsid w:val="00154DE1"/>
    <w:rsid w:val="00155B40"/>
    <w:rsid w:val="00157435"/>
    <w:rsid w:val="00160E7D"/>
    <w:rsid w:val="00163EEA"/>
    <w:rsid w:val="001679A1"/>
    <w:rsid w:val="00167A07"/>
    <w:rsid w:val="0017046A"/>
    <w:rsid w:val="001704A3"/>
    <w:rsid w:val="00171C17"/>
    <w:rsid w:val="00171D5A"/>
    <w:rsid w:val="00172A27"/>
    <w:rsid w:val="001748A9"/>
    <w:rsid w:val="0017504D"/>
    <w:rsid w:val="00177422"/>
    <w:rsid w:val="00181041"/>
    <w:rsid w:val="001818CA"/>
    <w:rsid w:val="00183F30"/>
    <w:rsid w:val="00184F10"/>
    <w:rsid w:val="00185546"/>
    <w:rsid w:val="00190C73"/>
    <w:rsid w:val="0019146B"/>
    <w:rsid w:val="00194398"/>
    <w:rsid w:val="001A4356"/>
    <w:rsid w:val="001A7D2A"/>
    <w:rsid w:val="001A7D41"/>
    <w:rsid w:val="001B574C"/>
    <w:rsid w:val="001B6F2A"/>
    <w:rsid w:val="001C0AF9"/>
    <w:rsid w:val="001C155A"/>
    <w:rsid w:val="001C48C0"/>
    <w:rsid w:val="001C4A19"/>
    <w:rsid w:val="001C507D"/>
    <w:rsid w:val="001D57EF"/>
    <w:rsid w:val="001D6726"/>
    <w:rsid w:val="001E3518"/>
    <w:rsid w:val="001F3347"/>
    <w:rsid w:val="001F4440"/>
    <w:rsid w:val="001F5F59"/>
    <w:rsid w:val="001F69E4"/>
    <w:rsid w:val="0020272F"/>
    <w:rsid w:val="00206504"/>
    <w:rsid w:val="00206A65"/>
    <w:rsid w:val="00212D31"/>
    <w:rsid w:val="002130C7"/>
    <w:rsid w:val="002218A8"/>
    <w:rsid w:val="0022306D"/>
    <w:rsid w:val="00223860"/>
    <w:rsid w:val="00226574"/>
    <w:rsid w:val="002278EC"/>
    <w:rsid w:val="002304C2"/>
    <w:rsid w:val="0023379D"/>
    <w:rsid w:val="002357C7"/>
    <w:rsid w:val="002367C4"/>
    <w:rsid w:val="002519CC"/>
    <w:rsid w:val="002545ED"/>
    <w:rsid w:val="00254805"/>
    <w:rsid w:val="00255565"/>
    <w:rsid w:val="0025679E"/>
    <w:rsid w:val="00260C68"/>
    <w:rsid w:val="00260EAB"/>
    <w:rsid w:val="002648B0"/>
    <w:rsid w:val="002676A9"/>
    <w:rsid w:val="002702AC"/>
    <w:rsid w:val="00275271"/>
    <w:rsid w:val="0027535E"/>
    <w:rsid w:val="00275AA6"/>
    <w:rsid w:val="00276478"/>
    <w:rsid w:val="002807D5"/>
    <w:rsid w:val="00282CCD"/>
    <w:rsid w:val="00297D52"/>
    <w:rsid w:val="002A168C"/>
    <w:rsid w:val="002A2C48"/>
    <w:rsid w:val="002A3EED"/>
    <w:rsid w:val="002A4A39"/>
    <w:rsid w:val="002A5A17"/>
    <w:rsid w:val="002A6425"/>
    <w:rsid w:val="002B0E86"/>
    <w:rsid w:val="002B49E2"/>
    <w:rsid w:val="002B5EEE"/>
    <w:rsid w:val="002B7B00"/>
    <w:rsid w:val="002B7C44"/>
    <w:rsid w:val="002C1388"/>
    <w:rsid w:val="002C26B2"/>
    <w:rsid w:val="002C3C6A"/>
    <w:rsid w:val="002D2D0B"/>
    <w:rsid w:val="002D329F"/>
    <w:rsid w:val="002D42DB"/>
    <w:rsid w:val="002E1F3A"/>
    <w:rsid w:val="002E298A"/>
    <w:rsid w:val="002E38D9"/>
    <w:rsid w:val="002E6190"/>
    <w:rsid w:val="002E62DE"/>
    <w:rsid w:val="002E7120"/>
    <w:rsid w:val="002F02A4"/>
    <w:rsid w:val="002F272B"/>
    <w:rsid w:val="002F7C6D"/>
    <w:rsid w:val="00301611"/>
    <w:rsid w:val="003027E4"/>
    <w:rsid w:val="0030332C"/>
    <w:rsid w:val="00311D7D"/>
    <w:rsid w:val="00311F18"/>
    <w:rsid w:val="00312296"/>
    <w:rsid w:val="0031340E"/>
    <w:rsid w:val="00313B3F"/>
    <w:rsid w:val="00316464"/>
    <w:rsid w:val="0032073A"/>
    <w:rsid w:val="00321D8E"/>
    <w:rsid w:val="003327EC"/>
    <w:rsid w:val="00334996"/>
    <w:rsid w:val="00336969"/>
    <w:rsid w:val="00336C52"/>
    <w:rsid w:val="00341B3E"/>
    <w:rsid w:val="00341B42"/>
    <w:rsid w:val="00345154"/>
    <w:rsid w:val="0034560E"/>
    <w:rsid w:val="00350523"/>
    <w:rsid w:val="00351785"/>
    <w:rsid w:val="00352975"/>
    <w:rsid w:val="00356868"/>
    <w:rsid w:val="00356A35"/>
    <w:rsid w:val="00357813"/>
    <w:rsid w:val="00361170"/>
    <w:rsid w:val="0036485B"/>
    <w:rsid w:val="00372EDB"/>
    <w:rsid w:val="00373B0D"/>
    <w:rsid w:val="00373C07"/>
    <w:rsid w:val="00376988"/>
    <w:rsid w:val="00381A72"/>
    <w:rsid w:val="00384EB0"/>
    <w:rsid w:val="00386570"/>
    <w:rsid w:val="00387964"/>
    <w:rsid w:val="003A1948"/>
    <w:rsid w:val="003A4E40"/>
    <w:rsid w:val="003B152A"/>
    <w:rsid w:val="003B2661"/>
    <w:rsid w:val="003B545B"/>
    <w:rsid w:val="003C5AC6"/>
    <w:rsid w:val="003D0856"/>
    <w:rsid w:val="003D13CD"/>
    <w:rsid w:val="003D3EE9"/>
    <w:rsid w:val="003E0EDD"/>
    <w:rsid w:val="003E195F"/>
    <w:rsid w:val="003E35B0"/>
    <w:rsid w:val="003E7681"/>
    <w:rsid w:val="003F0809"/>
    <w:rsid w:val="003F2E82"/>
    <w:rsid w:val="003F4501"/>
    <w:rsid w:val="003F611C"/>
    <w:rsid w:val="003F755C"/>
    <w:rsid w:val="004015E5"/>
    <w:rsid w:val="004031E6"/>
    <w:rsid w:val="0040501E"/>
    <w:rsid w:val="00406F01"/>
    <w:rsid w:val="00411B36"/>
    <w:rsid w:val="004121D7"/>
    <w:rsid w:val="00413761"/>
    <w:rsid w:val="00414949"/>
    <w:rsid w:val="004168C6"/>
    <w:rsid w:val="00416D50"/>
    <w:rsid w:val="00417772"/>
    <w:rsid w:val="00420E6A"/>
    <w:rsid w:val="00433CA9"/>
    <w:rsid w:val="0043521D"/>
    <w:rsid w:val="00442024"/>
    <w:rsid w:val="0044254C"/>
    <w:rsid w:val="00443F6A"/>
    <w:rsid w:val="00450A17"/>
    <w:rsid w:val="00453B63"/>
    <w:rsid w:val="004632B9"/>
    <w:rsid w:val="00466321"/>
    <w:rsid w:val="004672AF"/>
    <w:rsid w:val="004727B0"/>
    <w:rsid w:val="00480247"/>
    <w:rsid w:val="0048081D"/>
    <w:rsid w:val="0048117E"/>
    <w:rsid w:val="004855F6"/>
    <w:rsid w:val="00486F0C"/>
    <w:rsid w:val="0048706F"/>
    <w:rsid w:val="00494670"/>
    <w:rsid w:val="00494A1A"/>
    <w:rsid w:val="004A0EB4"/>
    <w:rsid w:val="004A3823"/>
    <w:rsid w:val="004A59BB"/>
    <w:rsid w:val="004A71D6"/>
    <w:rsid w:val="004B43A3"/>
    <w:rsid w:val="004B4C49"/>
    <w:rsid w:val="004B58A5"/>
    <w:rsid w:val="004B63D9"/>
    <w:rsid w:val="004C0882"/>
    <w:rsid w:val="004C55BE"/>
    <w:rsid w:val="004D21F9"/>
    <w:rsid w:val="004D5285"/>
    <w:rsid w:val="004E295C"/>
    <w:rsid w:val="004E3E87"/>
    <w:rsid w:val="004E59FE"/>
    <w:rsid w:val="004E5B30"/>
    <w:rsid w:val="004E66B5"/>
    <w:rsid w:val="004E7446"/>
    <w:rsid w:val="004F0779"/>
    <w:rsid w:val="004F1230"/>
    <w:rsid w:val="004F16CA"/>
    <w:rsid w:val="004F16F0"/>
    <w:rsid w:val="004F173F"/>
    <w:rsid w:val="004F177C"/>
    <w:rsid w:val="004F2DCE"/>
    <w:rsid w:val="004F4076"/>
    <w:rsid w:val="004F4E64"/>
    <w:rsid w:val="004F57AD"/>
    <w:rsid w:val="004F5A22"/>
    <w:rsid w:val="004F5C1E"/>
    <w:rsid w:val="004F733D"/>
    <w:rsid w:val="00502BFB"/>
    <w:rsid w:val="005039CB"/>
    <w:rsid w:val="0050558F"/>
    <w:rsid w:val="005057E0"/>
    <w:rsid w:val="00506286"/>
    <w:rsid w:val="00510813"/>
    <w:rsid w:val="00511DE0"/>
    <w:rsid w:val="00517F02"/>
    <w:rsid w:val="0052429D"/>
    <w:rsid w:val="00524547"/>
    <w:rsid w:val="005258A2"/>
    <w:rsid w:val="00530717"/>
    <w:rsid w:val="00530F7C"/>
    <w:rsid w:val="00534567"/>
    <w:rsid w:val="00534F43"/>
    <w:rsid w:val="00535A84"/>
    <w:rsid w:val="00536889"/>
    <w:rsid w:val="00542E07"/>
    <w:rsid w:val="00546451"/>
    <w:rsid w:val="00551232"/>
    <w:rsid w:val="00554A7B"/>
    <w:rsid w:val="0055572C"/>
    <w:rsid w:val="005562A1"/>
    <w:rsid w:val="005565E1"/>
    <w:rsid w:val="0056064F"/>
    <w:rsid w:val="00561B84"/>
    <w:rsid w:val="00563EA8"/>
    <w:rsid w:val="00571D98"/>
    <w:rsid w:val="005720AE"/>
    <w:rsid w:val="00575486"/>
    <w:rsid w:val="0058030D"/>
    <w:rsid w:val="00582045"/>
    <w:rsid w:val="0058295C"/>
    <w:rsid w:val="0058420E"/>
    <w:rsid w:val="00590AE3"/>
    <w:rsid w:val="005918F1"/>
    <w:rsid w:val="00593162"/>
    <w:rsid w:val="005974BC"/>
    <w:rsid w:val="005A06B7"/>
    <w:rsid w:val="005A1759"/>
    <w:rsid w:val="005C16B6"/>
    <w:rsid w:val="005C2EA4"/>
    <w:rsid w:val="005C3A72"/>
    <w:rsid w:val="005C4179"/>
    <w:rsid w:val="005C7613"/>
    <w:rsid w:val="005D0369"/>
    <w:rsid w:val="005D0564"/>
    <w:rsid w:val="005D53FE"/>
    <w:rsid w:val="005D7A0F"/>
    <w:rsid w:val="005E0438"/>
    <w:rsid w:val="005E1791"/>
    <w:rsid w:val="005E2CE6"/>
    <w:rsid w:val="005E4040"/>
    <w:rsid w:val="005E6324"/>
    <w:rsid w:val="005F0E5B"/>
    <w:rsid w:val="005F228B"/>
    <w:rsid w:val="005F29CD"/>
    <w:rsid w:val="005F4DFB"/>
    <w:rsid w:val="005F53B0"/>
    <w:rsid w:val="005F6CC0"/>
    <w:rsid w:val="00602F7A"/>
    <w:rsid w:val="00603461"/>
    <w:rsid w:val="00603E5B"/>
    <w:rsid w:val="00604BC8"/>
    <w:rsid w:val="00615B4C"/>
    <w:rsid w:val="00615B5D"/>
    <w:rsid w:val="0062146F"/>
    <w:rsid w:val="0062596C"/>
    <w:rsid w:val="00627B16"/>
    <w:rsid w:val="00630EC3"/>
    <w:rsid w:val="006343AF"/>
    <w:rsid w:val="0063634A"/>
    <w:rsid w:val="00636B8C"/>
    <w:rsid w:val="00637AE2"/>
    <w:rsid w:val="00641A75"/>
    <w:rsid w:val="0064216A"/>
    <w:rsid w:val="0064250D"/>
    <w:rsid w:val="006535EB"/>
    <w:rsid w:val="00653F03"/>
    <w:rsid w:val="00655C67"/>
    <w:rsid w:val="00663016"/>
    <w:rsid w:val="00674605"/>
    <w:rsid w:val="006748B8"/>
    <w:rsid w:val="0068535B"/>
    <w:rsid w:val="0068624E"/>
    <w:rsid w:val="0068736E"/>
    <w:rsid w:val="00691850"/>
    <w:rsid w:val="0069290A"/>
    <w:rsid w:val="00694931"/>
    <w:rsid w:val="00694CB1"/>
    <w:rsid w:val="00697032"/>
    <w:rsid w:val="006975AC"/>
    <w:rsid w:val="006A15FB"/>
    <w:rsid w:val="006A2B3B"/>
    <w:rsid w:val="006A72BF"/>
    <w:rsid w:val="006B332A"/>
    <w:rsid w:val="006B33BD"/>
    <w:rsid w:val="006B33E9"/>
    <w:rsid w:val="006B6DA4"/>
    <w:rsid w:val="006C27B3"/>
    <w:rsid w:val="006C3F75"/>
    <w:rsid w:val="006D170E"/>
    <w:rsid w:val="006D4157"/>
    <w:rsid w:val="006D5324"/>
    <w:rsid w:val="006D691B"/>
    <w:rsid w:val="006E06AF"/>
    <w:rsid w:val="006E2ED9"/>
    <w:rsid w:val="006E46FF"/>
    <w:rsid w:val="006E6387"/>
    <w:rsid w:val="006F1789"/>
    <w:rsid w:val="00706C5D"/>
    <w:rsid w:val="007118E6"/>
    <w:rsid w:val="00714A03"/>
    <w:rsid w:val="007225C9"/>
    <w:rsid w:val="00735CD7"/>
    <w:rsid w:val="007375DA"/>
    <w:rsid w:val="00740C95"/>
    <w:rsid w:val="00747328"/>
    <w:rsid w:val="00754034"/>
    <w:rsid w:val="00754BF1"/>
    <w:rsid w:val="00755A30"/>
    <w:rsid w:val="00755E1C"/>
    <w:rsid w:val="00756556"/>
    <w:rsid w:val="0076132B"/>
    <w:rsid w:val="007623AE"/>
    <w:rsid w:val="007632B2"/>
    <w:rsid w:val="00765BE4"/>
    <w:rsid w:val="00765D15"/>
    <w:rsid w:val="00767C08"/>
    <w:rsid w:val="00770B19"/>
    <w:rsid w:val="00774FA0"/>
    <w:rsid w:val="00776620"/>
    <w:rsid w:val="00777B6D"/>
    <w:rsid w:val="00784855"/>
    <w:rsid w:val="00784F39"/>
    <w:rsid w:val="0078545C"/>
    <w:rsid w:val="007906C4"/>
    <w:rsid w:val="007910A4"/>
    <w:rsid w:val="007940EA"/>
    <w:rsid w:val="007967E8"/>
    <w:rsid w:val="00797EAD"/>
    <w:rsid w:val="007A21B6"/>
    <w:rsid w:val="007A63F2"/>
    <w:rsid w:val="007A7DEC"/>
    <w:rsid w:val="007B68DE"/>
    <w:rsid w:val="007C1857"/>
    <w:rsid w:val="007C32DD"/>
    <w:rsid w:val="007C514F"/>
    <w:rsid w:val="007D0F95"/>
    <w:rsid w:val="007D50B5"/>
    <w:rsid w:val="007D7ECB"/>
    <w:rsid w:val="007E25A1"/>
    <w:rsid w:val="007E4BD2"/>
    <w:rsid w:val="007E5976"/>
    <w:rsid w:val="007E7145"/>
    <w:rsid w:val="007F0F3E"/>
    <w:rsid w:val="007F3916"/>
    <w:rsid w:val="00801179"/>
    <w:rsid w:val="00802479"/>
    <w:rsid w:val="00803D3C"/>
    <w:rsid w:val="00805372"/>
    <w:rsid w:val="00805B7B"/>
    <w:rsid w:val="0080740D"/>
    <w:rsid w:val="0081293E"/>
    <w:rsid w:val="00814FFB"/>
    <w:rsid w:val="00820568"/>
    <w:rsid w:val="00831A80"/>
    <w:rsid w:val="00832EB8"/>
    <w:rsid w:val="008332C8"/>
    <w:rsid w:val="00833743"/>
    <w:rsid w:val="008340A4"/>
    <w:rsid w:val="00836799"/>
    <w:rsid w:val="00837028"/>
    <w:rsid w:val="00837131"/>
    <w:rsid w:val="00845424"/>
    <w:rsid w:val="00845F57"/>
    <w:rsid w:val="00851084"/>
    <w:rsid w:val="008521E0"/>
    <w:rsid w:val="008525B0"/>
    <w:rsid w:val="00852D61"/>
    <w:rsid w:val="00855DFC"/>
    <w:rsid w:val="00862432"/>
    <w:rsid w:val="00867CBC"/>
    <w:rsid w:val="008706FD"/>
    <w:rsid w:val="00874318"/>
    <w:rsid w:val="008753EB"/>
    <w:rsid w:val="00876C30"/>
    <w:rsid w:val="00877017"/>
    <w:rsid w:val="008773C0"/>
    <w:rsid w:val="00880364"/>
    <w:rsid w:val="00886C4C"/>
    <w:rsid w:val="0088711C"/>
    <w:rsid w:val="0088747A"/>
    <w:rsid w:val="00891A24"/>
    <w:rsid w:val="00892ECF"/>
    <w:rsid w:val="00892F06"/>
    <w:rsid w:val="00894285"/>
    <w:rsid w:val="00895DD3"/>
    <w:rsid w:val="008A1B1B"/>
    <w:rsid w:val="008A40AE"/>
    <w:rsid w:val="008A4E19"/>
    <w:rsid w:val="008A67C5"/>
    <w:rsid w:val="008A6D22"/>
    <w:rsid w:val="008A7538"/>
    <w:rsid w:val="008B22E1"/>
    <w:rsid w:val="008B3C78"/>
    <w:rsid w:val="008B4AE9"/>
    <w:rsid w:val="008C10CE"/>
    <w:rsid w:val="008C2E3E"/>
    <w:rsid w:val="008C30AD"/>
    <w:rsid w:val="008C3814"/>
    <w:rsid w:val="008C4E64"/>
    <w:rsid w:val="008C7FCF"/>
    <w:rsid w:val="008D068E"/>
    <w:rsid w:val="008D0F7A"/>
    <w:rsid w:val="008D2693"/>
    <w:rsid w:val="008D63BE"/>
    <w:rsid w:val="008E0CFF"/>
    <w:rsid w:val="008E5D6B"/>
    <w:rsid w:val="008E689B"/>
    <w:rsid w:val="008E76F0"/>
    <w:rsid w:val="008F15FE"/>
    <w:rsid w:val="008F2A94"/>
    <w:rsid w:val="008F5187"/>
    <w:rsid w:val="008F5CAE"/>
    <w:rsid w:val="008F709C"/>
    <w:rsid w:val="0090312B"/>
    <w:rsid w:val="00904961"/>
    <w:rsid w:val="0091111F"/>
    <w:rsid w:val="0091736D"/>
    <w:rsid w:val="00921BFF"/>
    <w:rsid w:val="00925510"/>
    <w:rsid w:val="00931001"/>
    <w:rsid w:val="00931863"/>
    <w:rsid w:val="00933524"/>
    <w:rsid w:val="0094278D"/>
    <w:rsid w:val="00952C9B"/>
    <w:rsid w:val="0095308A"/>
    <w:rsid w:val="00953D21"/>
    <w:rsid w:val="00955566"/>
    <w:rsid w:val="00955AEE"/>
    <w:rsid w:val="00956F14"/>
    <w:rsid w:val="009571E0"/>
    <w:rsid w:val="009620FD"/>
    <w:rsid w:val="0096247A"/>
    <w:rsid w:val="00965B9F"/>
    <w:rsid w:val="00965F4B"/>
    <w:rsid w:val="00970F8A"/>
    <w:rsid w:val="00971FB5"/>
    <w:rsid w:val="00972D2A"/>
    <w:rsid w:val="0097514C"/>
    <w:rsid w:val="00975CC5"/>
    <w:rsid w:val="00976328"/>
    <w:rsid w:val="00976B4E"/>
    <w:rsid w:val="00980C8F"/>
    <w:rsid w:val="00983B0E"/>
    <w:rsid w:val="00984458"/>
    <w:rsid w:val="00985283"/>
    <w:rsid w:val="00985513"/>
    <w:rsid w:val="009857AC"/>
    <w:rsid w:val="00986E88"/>
    <w:rsid w:val="00987322"/>
    <w:rsid w:val="0099317D"/>
    <w:rsid w:val="0099421C"/>
    <w:rsid w:val="009A0F3B"/>
    <w:rsid w:val="009A72C7"/>
    <w:rsid w:val="009B0897"/>
    <w:rsid w:val="009C5B93"/>
    <w:rsid w:val="009D0852"/>
    <w:rsid w:val="009D1FBF"/>
    <w:rsid w:val="009D323E"/>
    <w:rsid w:val="009D60AE"/>
    <w:rsid w:val="009E16E2"/>
    <w:rsid w:val="009E399C"/>
    <w:rsid w:val="009E43C1"/>
    <w:rsid w:val="009E4923"/>
    <w:rsid w:val="009E6589"/>
    <w:rsid w:val="009E7E95"/>
    <w:rsid w:val="009F116F"/>
    <w:rsid w:val="009F329E"/>
    <w:rsid w:val="009F62EF"/>
    <w:rsid w:val="009F7ED3"/>
    <w:rsid w:val="00A034F6"/>
    <w:rsid w:val="00A03607"/>
    <w:rsid w:val="00A03BB4"/>
    <w:rsid w:val="00A047FF"/>
    <w:rsid w:val="00A04FEF"/>
    <w:rsid w:val="00A05B57"/>
    <w:rsid w:val="00A122CD"/>
    <w:rsid w:val="00A12A32"/>
    <w:rsid w:val="00A14248"/>
    <w:rsid w:val="00A14947"/>
    <w:rsid w:val="00A23DC5"/>
    <w:rsid w:val="00A277E5"/>
    <w:rsid w:val="00A34028"/>
    <w:rsid w:val="00A3495D"/>
    <w:rsid w:val="00A35568"/>
    <w:rsid w:val="00A37056"/>
    <w:rsid w:val="00A37CB6"/>
    <w:rsid w:val="00A4358F"/>
    <w:rsid w:val="00A46F67"/>
    <w:rsid w:val="00A532D3"/>
    <w:rsid w:val="00A54AA1"/>
    <w:rsid w:val="00A568FF"/>
    <w:rsid w:val="00A569B1"/>
    <w:rsid w:val="00A61496"/>
    <w:rsid w:val="00A61833"/>
    <w:rsid w:val="00A62012"/>
    <w:rsid w:val="00A624C6"/>
    <w:rsid w:val="00A63CEC"/>
    <w:rsid w:val="00A7031E"/>
    <w:rsid w:val="00A728B1"/>
    <w:rsid w:val="00A749EE"/>
    <w:rsid w:val="00A763DE"/>
    <w:rsid w:val="00A7758B"/>
    <w:rsid w:val="00A803D6"/>
    <w:rsid w:val="00A81282"/>
    <w:rsid w:val="00A824AC"/>
    <w:rsid w:val="00A8713F"/>
    <w:rsid w:val="00A91167"/>
    <w:rsid w:val="00A9171C"/>
    <w:rsid w:val="00A92FFD"/>
    <w:rsid w:val="00A95229"/>
    <w:rsid w:val="00A95975"/>
    <w:rsid w:val="00A9708D"/>
    <w:rsid w:val="00AA0A10"/>
    <w:rsid w:val="00AA2C17"/>
    <w:rsid w:val="00AA4172"/>
    <w:rsid w:val="00AA5189"/>
    <w:rsid w:val="00AB1914"/>
    <w:rsid w:val="00AB5330"/>
    <w:rsid w:val="00AB60AD"/>
    <w:rsid w:val="00AB7747"/>
    <w:rsid w:val="00AC0E92"/>
    <w:rsid w:val="00AC2532"/>
    <w:rsid w:val="00AC3641"/>
    <w:rsid w:val="00AC3913"/>
    <w:rsid w:val="00AC7D48"/>
    <w:rsid w:val="00AD1507"/>
    <w:rsid w:val="00AD24E3"/>
    <w:rsid w:val="00AD5A70"/>
    <w:rsid w:val="00AD7379"/>
    <w:rsid w:val="00AD738B"/>
    <w:rsid w:val="00AE0571"/>
    <w:rsid w:val="00AE1BF4"/>
    <w:rsid w:val="00AE389C"/>
    <w:rsid w:val="00AE50AA"/>
    <w:rsid w:val="00AE5736"/>
    <w:rsid w:val="00AE5D97"/>
    <w:rsid w:val="00AE6794"/>
    <w:rsid w:val="00AF28F8"/>
    <w:rsid w:val="00AF3CD0"/>
    <w:rsid w:val="00B01110"/>
    <w:rsid w:val="00B019C5"/>
    <w:rsid w:val="00B02262"/>
    <w:rsid w:val="00B03CEC"/>
    <w:rsid w:val="00B1209F"/>
    <w:rsid w:val="00B12AD0"/>
    <w:rsid w:val="00B24F30"/>
    <w:rsid w:val="00B26CF5"/>
    <w:rsid w:val="00B31ABF"/>
    <w:rsid w:val="00B32BA6"/>
    <w:rsid w:val="00B335AE"/>
    <w:rsid w:val="00B35235"/>
    <w:rsid w:val="00B3558C"/>
    <w:rsid w:val="00B37CE1"/>
    <w:rsid w:val="00B40ACF"/>
    <w:rsid w:val="00B46BAA"/>
    <w:rsid w:val="00B50B5F"/>
    <w:rsid w:val="00B54128"/>
    <w:rsid w:val="00B55826"/>
    <w:rsid w:val="00B57057"/>
    <w:rsid w:val="00B60426"/>
    <w:rsid w:val="00B61AAB"/>
    <w:rsid w:val="00B622DD"/>
    <w:rsid w:val="00B626E2"/>
    <w:rsid w:val="00B63522"/>
    <w:rsid w:val="00B6528E"/>
    <w:rsid w:val="00B76F1D"/>
    <w:rsid w:val="00B90C18"/>
    <w:rsid w:val="00B926C2"/>
    <w:rsid w:val="00B92A19"/>
    <w:rsid w:val="00B9544C"/>
    <w:rsid w:val="00BA29E9"/>
    <w:rsid w:val="00BA4D76"/>
    <w:rsid w:val="00BA61A7"/>
    <w:rsid w:val="00BA73C7"/>
    <w:rsid w:val="00BB3618"/>
    <w:rsid w:val="00BC0C9E"/>
    <w:rsid w:val="00BC32DC"/>
    <w:rsid w:val="00BC5108"/>
    <w:rsid w:val="00BD1B51"/>
    <w:rsid w:val="00BD3D47"/>
    <w:rsid w:val="00BD3F8A"/>
    <w:rsid w:val="00BD47F6"/>
    <w:rsid w:val="00BE2231"/>
    <w:rsid w:val="00BE312D"/>
    <w:rsid w:val="00BE36BE"/>
    <w:rsid w:val="00BE3FCA"/>
    <w:rsid w:val="00BF42CA"/>
    <w:rsid w:val="00C014D1"/>
    <w:rsid w:val="00C03894"/>
    <w:rsid w:val="00C05719"/>
    <w:rsid w:val="00C10578"/>
    <w:rsid w:val="00C17D62"/>
    <w:rsid w:val="00C21911"/>
    <w:rsid w:val="00C21FDC"/>
    <w:rsid w:val="00C23A00"/>
    <w:rsid w:val="00C245D2"/>
    <w:rsid w:val="00C24EE7"/>
    <w:rsid w:val="00C2596A"/>
    <w:rsid w:val="00C2613E"/>
    <w:rsid w:val="00C271BE"/>
    <w:rsid w:val="00C27425"/>
    <w:rsid w:val="00C3057E"/>
    <w:rsid w:val="00C328FE"/>
    <w:rsid w:val="00C32E38"/>
    <w:rsid w:val="00C33A05"/>
    <w:rsid w:val="00C33B42"/>
    <w:rsid w:val="00C42500"/>
    <w:rsid w:val="00C4409D"/>
    <w:rsid w:val="00C455BE"/>
    <w:rsid w:val="00C47E87"/>
    <w:rsid w:val="00C505F2"/>
    <w:rsid w:val="00C51E5F"/>
    <w:rsid w:val="00C61E4B"/>
    <w:rsid w:val="00C62E3A"/>
    <w:rsid w:val="00C64503"/>
    <w:rsid w:val="00C64A1F"/>
    <w:rsid w:val="00C64BFF"/>
    <w:rsid w:val="00C72997"/>
    <w:rsid w:val="00C72E23"/>
    <w:rsid w:val="00C763C9"/>
    <w:rsid w:val="00C80057"/>
    <w:rsid w:val="00C82C79"/>
    <w:rsid w:val="00C84753"/>
    <w:rsid w:val="00C91611"/>
    <w:rsid w:val="00CA3585"/>
    <w:rsid w:val="00CA3D5A"/>
    <w:rsid w:val="00CA4C7C"/>
    <w:rsid w:val="00CB0183"/>
    <w:rsid w:val="00CB1EA3"/>
    <w:rsid w:val="00CB2146"/>
    <w:rsid w:val="00CB28F9"/>
    <w:rsid w:val="00CB3B8D"/>
    <w:rsid w:val="00CB552C"/>
    <w:rsid w:val="00CB6A9E"/>
    <w:rsid w:val="00CC6181"/>
    <w:rsid w:val="00CD2BCD"/>
    <w:rsid w:val="00CD36AA"/>
    <w:rsid w:val="00CD3791"/>
    <w:rsid w:val="00CD65B0"/>
    <w:rsid w:val="00CE02CD"/>
    <w:rsid w:val="00CE10E9"/>
    <w:rsid w:val="00CE5A5F"/>
    <w:rsid w:val="00CF5F68"/>
    <w:rsid w:val="00D0072E"/>
    <w:rsid w:val="00D0507C"/>
    <w:rsid w:val="00D11C5C"/>
    <w:rsid w:val="00D15727"/>
    <w:rsid w:val="00D16332"/>
    <w:rsid w:val="00D208A4"/>
    <w:rsid w:val="00D23A17"/>
    <w:rsid w:val="00D24972"/>
    <w:rsid w:val="00D2515E"/>
    <w:rsid w:val="00D308ED"/>
    <w:rsid w:val="00D32136"/>
    <w:rsid w:val="00D3276D"/>
    <w:rsid w:val="00D3641C"/>
    <w:rsid w:val="00D36BA5"/>
    <w:rsid w:val="00D37603"/>
    <w:rsid w:val="00D37E34"/>
    <w:rsid w:val="00D402E3"/>
    <w:rsid w:val="00D43A17"/>
    <w:rsid w:val="00D46D65"/>
    <w:rsid w:val="00D56178"/>
    <w:rsid w:val="00D56CF0"/>
    <w:rsid w:val="00D56F5C"/>
    <w:rsid w:val="00D64250"/>
    <w:rsid w:val="00D64A43"/>
    <w:rsid w:val="00D704B1"/>
    <w:rsid w:val="00D70B63"/>
    <w:rsid w:val="00D72B92"/>
    <w:rsid w:val="00D72ED4"/>
    <w:rsid w:val="00D73F61"/>
    <w:rsid w:val="00D754C0"/>
    <w:rsid w:val="00D759F5"/>
    <w:rsid w:val="00D776A2"/>
    <w:rsid w:val="00D801C4"/>
    <w:rsid w:val="00D8051F"/>
    <w:rsid w:val="00D90836"/>
    <w:rsid w:val="00D95896"/>
    <w:rsid w:val="00D95CC6"/>
    <w:rsid w:val="00D97552"/>
    <w:rsid w:val="00DA2DA3"/>
    <w:rsid w:val="00DA6615"/>
    <w:rsid w:val="00DA7170"/>
    <w:rsid w:val="00DA76AE"/>
    <w:rsid w:val="00DB181E"/>
    <w:rsid w:val="00DB1C7A"/>
    <w:rsid w:val="00DB2983"/>
    <w:rsid w:val="00DB343D"/>
    <w:rsid w:val="00DB5579"/>
    <w:rsid w:val="00DB5CFE"/>
    <w:rsid w:val="00DC502B"/>
    <w:rsid w:val="00DC72A6"/>
    <w:rsid w:val="00DD2113"/>
    <w:rsid w:val="00DD265E"/>
    <w:rsid w:val="00DD32F8"/>
    <w:rsid w:val="00DD6B1E"/>
    <w:rsid w:val="00DE0E42"/>
    <w:rsid w:val="00DE4DE4"/>
    <w:rsid w:val="00DF1930"/>
    <w:rsid w:val="00DF2399"/>
    <w:rsid w:val="00DF514A"/>
    <w:rsid w:val="00E0280B"/>
    <w:rsid w:val="00E0358D"/>
    <w:rsid w:val="00E06327"/>
    <w:rsid w:val="00E06BCA"/>
    <w:rsid w:val="00E161BB"/>
    <w:rsid w:val="00E2064B"/>
    <w:rsid w:val="00E25239"/>
    <w:rsid w:val="00E265B1"/>
    <w:rsid w:val="00E26E80"/>
    <w:rsid w:val="00E275B0"/>
    <w:rsid w:val="00E34E3B"/>
    <w:rsid w:val="00E35300"/>
    <w:rsid w:val="00E374E8"/>
    <w:rsid w:val="00E412D0"/>
    <w:rsid w:val="00E4607C"/>
    <w:rsid w:val="00E471B9"/>
    <w:rsid w:val="00E47CDB"/>
    <w:rsid w:val="00E566BC"/>
    <w:rsid w:val="00E577F7"/>
    <w:rsid w:val="00E60982"/>
    <w:rsid w:val="00E60C8D"/>
    <w:rsid w:val="00E6162F"/>
    <w:rsid w:val="00E61A32"/>
    <w:rsid w:val="00E6311B"/>
    <w:rsid w:val="00E65486"/>
    <w:rsid w:val="00E65D97"/>
    <w:rsid w:val="00E67EFD"/>
    <w:rsid w:val="00E702DC"/>
    <w:rsid w:val="00E7153C"/>
    <w:rsid w:val="00E71FFB"/>
    <w:rsid w:val="00E76D1D"/>
    <w:rsid w:val="00E806F8"/>
    <w:rsid w:val="00E87752"/>
    <w:rsid w:val="00E8793B"/>
    <w:rsid w:val="00E90F81"/>
    <w:rsid w:val="00E91A6D"/>
    <w:rsid w:val="00E9242D"/>
    <w:rsid w:val="00E92488"/>
    <w:rsid w:val="00E96FAF"/>
    <w:rsid w:val="00EA6F9F"/>
    <w:rsid w:val="00EA7229"/>
    <w:rsid w:val="00EA72DA"/>
    <w:rsid w:val="00EB041C"/>
    <w:rsid w:val="00EB46D3"/>
    <w:rsid w:val="00EC5874"/>
    <w:rsid w:val="00EC6507"/>
    <w:rsid w:val="00ED192D"/>
    <w:rsid w:val="00ED30B4"/>
    <w:rsid w:val="00ED31F5"/>
    <w:rsid w:val="00ED6CDA"/>
    <w:rsid w:val="00EE19FC"/>
    <w:rsid w:val="00EE7D73"/>
    <w:rsid w:val="00EF2759"/>
    <w:rsid w:val="00EF45EB"/>
    <w:rsid w:val="00EF5027"/>
    <w:rsid w:val="00EF5099"/>
    <w:rsid w:val="00EF50B5"/>
    <w:rsid w:val="00EF5E33"/>
    <w:rsid w:val="00EF662A"/>
    <w:rsid w:val="00F00075"/>
    <w:rsid w:val="00F03B3B"/>
    <w:rsid w:val="00F04A76"/>
    <w:rsid w:val="00F05553"/>
    <w:rsid w:val="00F07822"/>
    <w:rsid w:val="00F15C95"/>
    <w:rsid w:val="00F22985"/>
    <w:rsid w:val="00F241AB"/>
    <w:rsid w:val="00F31382"/>
    <w:rsid w:val="00F357B7"/>
    <w:rsid w:val="00F35829"/>
    <w:rsid w:val="00F404D4"/>
    <w:rsid w:val="00F42868"/>
    <w:rsid w:val="00F465A7"/>
    <w:rsid w:val="00F50B7C"/>
    <w:rsid w:val="00F5202D"/>
    <w:rsid w:val="00F52CF6"/>
    <w:rsid w:val="00F53495"/>
    <w:rsid w:val="00F54496"/>
    <w:rsid w:val="00F61097"/>
    <w:rsid w:val="00F644B3"/>
    <w:rsid w:val="00F742B0"/>
    <w:rsid w:val="00F74345"/>
    <w:rsid w:val="00F74441"/>
    <w:rsid w:val="00F77F30"/>
    <w:rsid w:val="00F82589"/>
    <w:rsid w:val="00F82B19"/>
    <w:rsid w:val="00F83BF8"/>
    <w:rsid w:val="00F90AA7"/>
    <w:rsid w:val="00F91621"/>
    <w:rsid w:val="00F9212D"/>
    <w:rsid w:val="00F9243A"/>
    <w:rsid w:val="00FA301A"/>
    <w:rsid w:val="00FA406A"/>
    <w:rsid w:val="00FA5CB6"/>
    <w:rsid w:val="00FC125C"/>
    <w:rsid w:val="00FC66AC"/>
    <w:rsid w:val="00FD18F4"/>
    <w:rsid w:val="00FD2E74"/>
    <w:rsid w:val="00FD74B4"/>
    <w:rsid w:val="00FD795A"/>
    <w:rsid w:val="00FF27DB"/>
    <w:rsid w:val="00FF6FCE"/>
    <w:rsid w:val="00FF7088"/>
    <w:rsid w:val="00FF7518"/>
    <w:rsid w:val="00FF7FD8"/>
    <w:rsid w:val="01305569"/>
    <w:rsid w:val="01AE3AC2"/>
    <w:rsid w:val="01B41D4E"/>
    <w:rsid w:val="01C8325B"/>
    <w:rsid w:val="01D37AA0"/>
    <w:rsid w:val="01DA1839"/>
    <w:rsid w:val="022B34C9"/>
    <w:rsid w:val="02495FA0"/>
    <w:rsid w:val="02595CFB"/>
    <w:rsid w:val="027A76EE"/>
    <w:rsid w:val="032338E1"/>
    <w:rsid w:val="042D48EB"/>
    <w:rsid w:val="043E5B56"/>
    <w:rsid w:val="045C4633"/>
    <w:rsid w:val="04D00B77"/>
    <w:rsid w:val="04D57E9A"/>
    <w:rsid w:val="04FB5E1D"/>
    <w:rsid w:val="05082EB4"/>
    <w:rsid w:val="050E298A"/>
    <w:rsid w:val="054A066D"/>
    <w:rsid w:val="054C53E9"/>
    <w:rsid w:val="056E6EE3"/>
    <w:rsid w:val="05742AC8"/>
    <w:rsid w:val="05747309"/>
    <w:rsid w:val="0598072F"/>
    <w:rsid w:val="05A100FF"/>
    <w:rsid w:val="05A756E5"/>
    <w:rsid w:val="05AB462E"/>
    <w:rsid w:val="05EF2D94"/>
    <w:rsid w:val="05EF3F4F"/>
    <w:rsid w:val="05F168C0"/>
    <w:rsid w:val="06352F05"/>
    <w:rsid w:val="063A6A14"/>
    <w:rsid w:val="063E7D85"/>
    <w:rsid w:val="06603325"/>
    <w:rsid w:val="06976AAE"/>
    <w:rsid w:val="06AA3FCE"/>
    <w:rsid w:val="06D26C9D"/>
    <w:rsid w:val="070875E0"/>
    <w:rsid w:val="07154D9A"/>
    <w:rsid w:val="07293586"/>
    <w:rsid w:val="07295285"/>
    <w:rsid w:val="07353D42"/>
    <w:rsid w:val="075B785C"/>
    <w:rsid w:val="07654DC2"/>
    <w:rsid w:val="07770C56"/>
    <w:rsid w:val="077C7570"/>
    <w:rsid w:val="079270B3"/>
    <w:rsid w:val="07EE6C7A"/>
    <w:rsid w:val="08491DD2"/>
    <w:rsid w:val="08DD7939"/>
    <w:rsid w:val="08DF0F5E"/>
    <w:rsid w:val="090227B5"/>
    <w:rsid w:val="09133B2C"/>
    <w:rsid w:val="092217DD"/>
    <w:rsid w:val="092D370C"/>
    <w:rsid w:val="093A7294"/>
    <w:rsid w:val="096555DD"/>
    <w:rsid w:val="096C2DA1"/>
    <w:rsid w:val="09BC05EC"/>
    <w:rsid w:val="09CC0DF5"/>
    <w:rsid w:val="09E149FA"/>
    <w:rsid w:val="0A640151"/>
    <w:rsid w:val="0B104991"/>
    <w:rsid w:val="0B7E3BD6"/>
    <w:rsid w:val="0B884639"/>
    <w:rsid w:val="0BD27BF6"/>
    <w:rsid w:val="0BDE1373"/>
    <w:rsid w:val="0BE40F40"/>
    <w:rsid w:val="0C1C37DC"/>
    <w:rsid w:val="0C485F7F"/>
    <w:rsid w:val="0C676F35"/>
    <w:rsid w:val="0CEB12CE"/>
    <w:rsid w:val="0CF322D2"/>
    <w:rsid w:val="0CFD12AC"/>
    <w:rsid w:val="0D224C0A"/>
    <w:rsid w:val="0D6165B4"/>
    <w:rsid w:val="0D8D4EEE"/>
    <w:rsid w:val="0E110D06"/>
    <w:rsid w:val="0E4F76FC"/>
    <w:rsid w:val="0E6B2576"/>
    <w:rsid w:val="0E8A6B3A"/>
    <w:rsid w:val="0F106511"/>
    <w:rsid w:val="0F13775A"/>
    <w:rsid w:val="0F5A5D56"/>
    <w:rsid w:val="0F7440DA"/>
    <w:rsid w:val="0F9A112B"/>
    <w:rsid w:val="0F9D60E6"/>
    <w:rsid w:val="0FC83564"/>
    <w:rsid w:val="0FD44B41"/>
    <w:rsid w:val="102C76B3"/>
    <w:rsid w:val="10515849"/>
    <w:rsid w:val="106D2F64"/>
    <w:rsid w:val="10772181"/>
    <w:rsid w:val="10B63710"/>
    <w:rsid w:val="10CA1840"/>
    <w:rsid w:val="10E7043D"/>
    <w:rsid w:val="111C2F7A"/>
    <w:rsid w:val="113013DE"/>
    <w:rsid w:val="11513FC9"/>
    <w:rsid w:val="11D30ACE"/>
    <w:rsid w:val="11F85AF8"/>
    <w:rsid w:val="122B06C2"/>
    <w:rsid w:val="124132D4"/>
    <w:rsid w:val="12547037"/>
    <w:rsid w:val="128B5D17"/>
    <w:rsid w:val="128E3224"/>
    <w:rsid w:val="12AB5D69"/>
    <w:rsid w:val="12D35F9F"/>
    <w:rsid w:val="13007A3D"/>
    <w:rsid w:val="13232472"/>
    <w:rsid w:val="13556217"/>
    <w:rsid w:val="13873A19"/>
    <w:rsid w:val="13951726"/>
    <w:rsid w:val="14396509"/>
    <w:rsid w:val="14404BA6"/>
    <w:rsid w:val="1447165C"/>
    <w:rsid w:val="1501633E"/>
    <w:rsid w:val="15493C5E"/>
    <w:rsid w:val="156D4F83"/>
    <w:rsid w:val="156F78D9"/>
    <w:rsid w:val="15A901BE"/>
    <w:rsid w:val="15EC04AB"/>
    <w:rsid w:val="16AC41E9"/>
    <w:rsid w:val="16CB1E5F"/>
    <w:rsid w:val="16ED6288"/>
    <w:rsid w:val="16FB2C61"/>
    <w:rsid w:val="1726732E"/>
    <w:rsid w:val="1767603B"/>
    <w:rsid w:val="17735226"/>
    <w:rsid w:val="17884203"/>
    <w:rsid w:val="17946EEB"/>
    <w:rsid w:val="179D2364"/>
    <w:rsid w:val="17C52D61"/>
    <w:rsid w:val="17D332AF"/>
    <w:rsid w:val="187F3411"/>
    <w:rsid w:val="18AC13B8"/>
    <w:rsid w:val="18B7317D"/>
    <w:rsid w:val="192D25DB"/>
    <w:rsid w:val="193006AE"/>
    <w:rsid w:val="19416918"/>
    <w:rsid w:val="19794707"/>
    <w:rsid w:val="198D5768"/>
    <w:rsid w:val="19B53453"/>
    <w:rsid w:val="19D5184B"/>
    <w:rsid w:val="1A0E5436"/>
    <w:rsid w:val="1A1C66C0"/>
    <w:rsid w:val="1A3022C5"/>
    <w:rsid w:val="1A42393B"/>
    <w:rsid w:val="1A4F260A"/>
    <w:rsid w:val="1A6545FF"/>
    <w:rsid w:val="1A7A7E33"/>
    <w:rsid w:val="1ABF2F84"/>
    <w:rsid w:val="1AC76D49"/>
    <w:rsid w:val="1B046F80"/>
    <w:rsid w:val="1B1C47BE"/>
    <w:rsid w:val="1B3267B5"/>
    <w:rsid w:val="1B644B05"/>
    <w:rsid w:val="1B6A62FA"/>
    <w:rsid w:val="1BB83D63"/>
    <w:rsid w:val="1BC25DC8"/>
    <w:rsid w:val="1BD21EF1"/>
    <w:rsid w:val="1BD67797"/>
    <w:rsid w:val="1C281B11"/>
    <w:rsid w:val="1C5D3ED1"/>
    <w:rsid w:val="1C5E7925"/>
    <w:rsid w:val="1C7C79A5"/>
    <w:rsid w:val="1C887FC8"/>
    <w:rsid w:val="1CBA7750"/>
    <w:rsid w:val="1CC874B0"/>
    <w:rsid w:val="1CC91956"/>
    <w:rsid w:val="1D192A3A"/>
    <w:rsid w:val="1D4E41BE"/>
    <w:rsid w:val="1D5F6196"/>
    <w:rsid w:val="1D6132A5"/>
    <w:rsid w:val="1D632696"/>
    <w:rsid w:val="1D810F80"/>
    <w:rsid w:val="1D8E56D5"/>
    <w:rsid w:val="1DC70D5F"/>
    <w:rsid w:val="1DCD060F"/>
    <w:rsid w:val="1DDD4AF3"/>
    <w:rsid w:val="1DFA0E65"/>
    <w:rsid w:val="1E167D52"/>
    <w:rsid w:val="1E17472E"/>
    <w:rsid w:val="1E7A43DA"/>
    <w:rsid w:val="1E9F57E9"/>
    <w:rsid w:val="1EB277FE"/>
    <w:rsid w:val="1F336D25"/>
    <w:rsid w:val="1F3C12B9"/>
    <w:rsid w:val="1F7C520D"/>
    <w:rsid w:val="1F87294A"/>
    <w:rsid w:val="1FCC35BA"/>
    <w:rsid w:val="1FE7539E"/>
    <w:rsid w:val="20405BCB"/>
    <w:rsid w:val="20452C91"/>
    <w:rsid w:val="20651C61"/>
    <w:rsid w:val="20963CB8"/>
    <w:rsid w:val="20B07FB6"/>
    <w:rsid w:val="20CD4DF2"/>
    <w:rsid w:val="213B74B1"/>
    <w:rsid w:val="215657AB"/>
    <w:rsid w:val="215A2310"/>
    <w:rsid w:val="2177331E"/>
    <w:rsid w:val="21B069DD"/>
    <w:rsid w:val="21DE318A"/>
    <w:rsid w:val="21EF5B80"/>
    <w:rsid w:val="22576990"/>
    <w:rsid w:val="2279087E"/>
    <w:rsid w:val="227B0BEC"/>
    <w:rsid w:val="229C4EAB"/>
    <w:rsid w:val="22D811DC"/>
    <w:rsid w:val="22FA7BAA"/>
    <w:rsid w:val="231C6772"/>
    <w:rsid w:val="23246CE7"/>
    <w:rsid w:val="23D65794"/>
    <w:rsid w:val="23E05170"/>
    <w:rsid w:val="23FD4687"/>
    <w:rsid w:val="240864B0"/>
    <w:rsid w:val="244D1792"/>
    <w:rsid w:val="24721E3A"/>
    <w:rsid w:val="24FD54E5"/>
    <w:rsid w:val="252D53FE"/>
    <w:rsid w:val="254C2D14"/>
    <w:rsid w:val="254D7B4C"/>
    <w:rsid w:val="255E0CA1"/>
    <w:rsid w:val="259F3D0B"/>
    <w:rsid w:val="25C76CF0"/>
    <w:rsid w:val="25CC1A94"/>
    <w:rsid w:val="25EC2D81"/>
    <w:rsid w:val="2607591B"/>
    <w:rsid w:val="264528BD"/>
    <w:rsid w:val="26803368"/>
    <w:rsid w:val="26E25288"/>
    <w:rsid w:val="26F23447"/>
    <w:rsid w:val="27220408"/>
    <w:rsid w:val="27641F31"/>
    <w:rsid w:val="276F6846"/>
    <w:rsid w:val="278F2436"/>
    <w:rsid w:val="27BF15BC"/>
    <w:rsid w:val="27D15DD1"/>
    <w:rsid w:val="28043432"/>
    <w:rsid w:val="28642AEE"/>
    <w:rsid w:val="286D32C6"/>
    <w:rsid w:val="28A76295"/>
    <w:rsid w:val="28BC557F"/>
    <w:rsid w:val="28C94C6B"/>
    <w:rsid w:val="28ED5372"/>
    <w:rsid w:val="29206EB8"/>
    <w:rsid w:val="29354D1A"/>
    <w:rsid w:val="294B6248"/>
    <w:rsid w:val="295E5D81"/>
    <w:rsid w:val="2983731E"/>
    <w:rsid w:val="299C1BC7"/>
    <w:rsid w:val="29D04587"/>
    <w:rsid w:val="29D21D2F"/>
    <w:rsid w:val="29E325E0"/>
    <w:rsid w:val="2A121864"/>
    <w:rsid w:val="2A452503"/>
    <w:rsid w:val="2A78001D"/>
    <w:rsid w:val="2A7A6FDF"/>
    <w:rsid w:val="2A7C5DA5"/>
    <w:rsid w:val="2A9C100A"/>
    <w:rsid w:val="2AB94D38"/>
    <w:rsid w:val="2AD51309"/>
    <w:rsid w:val="2AED204B"/>
    <w:rsid w:val="2B1C3740"/>
    <w:rsid w:val="2B3C0512"/>
    <w:rsid w:val="2B62123C"/>
    <w:rsid w:val="2BA936A8"/>
    <w:rsid w:val="2BCA0E10"/>
    <w:rsid w:val="2BDF31C9"/>
    <w:rsid w:val="2BFC59AE"/>
    <w:rsid w:val="2C05145A"/>
    <w:rsid w:val="2C315A5A"/>
    <w:rsid w:val="2C42706A"/>
    <w:rsid w:val="2C457A82"/>
    <w:rsid w:val="2C461168"/>
    <w:rsid w:val="2C8518F7"/>
    <w:rsid w:val="2CBC2B18"/>
    <w:rsid w:val="2CC7386C"/>
    <w:rsid w:val="2D572346"/>
    <w:rsid w:val="2D6846F4"/>
    <w:rsid w:val="2D7725CD"/>
    <w:rsid w:val="2D807C69"/>
    <w:rsid w:val="2D9B4494"/>
    <w:rsid w:val="2D9E56F5"/>
    <w:rsid w:val="2E667F96"/>
    <w:rsid w:val="2E8226AB"/>
    <w:rsid w:val="2ECB6D68"/>
    <w:rsid w:val="2EE525E3"/>
    <w:rsid w:val="2EE67135"/>
    <w:rsid w:val="2F3906AB"/>
    <w:rsid w:val="2F55058F"/>
    <w:rsid w:val="2F832C79"/>
    <w:rsid w:val="2FAA54A8"/>
    <w:rsid w:val="2FB10290"/>
    <w:rsid w:val="2FEF2D58"/>
    <w:rsid w:val="30017ED2"/>
    <w:rsid w:val="30580BC9"/>
    <w:rsid w:val="30FC4A93"/>
    <w:rsid w:val="31117CB5"/>
    <w:rsid w:val="311E2ED7"/>
    <w:rsid w:val="31226C99"/>
    <w:rsid w:val="315C449C"/>
    <w:rsid w:val="31633761"/>
    <w:rsid w:val="31684E11"/>
    <w:rsid w:val="31B15A78"/>
    <w:rsid w:val="31B82709"/>
    <w:rsid w:val="31DF600E"/>
    <w:rsid w:val="32400B34"/>
    <w:rsid w:val="328A09D8"/>
    <w:rsid w:val="32963A63"/>
    <w:rsid w:val="329E6876"/>
    <w:rsid w:val="32D23133"/>
    <w:rsid w:val="32FA530B"/>
    <w:rsid w:val="32FE047D"/>
    <w:rsid w:val="33087A98"/>
    <w:rsid w:val="33484B1B"/>
    <w:rsid w:val="338A5133"/>
    <w:rsid w:val="33D934D4"/>
    <w:rsid w:val="33FE2F6A"/>
    <w:rsid w:val="3425075D"/>
    <w:rsid w:val="34410298"/>
    <w:rsid w:val="34414EE8"/>
    <w:rsid w:val="34A15A01"/>
    <w:rsid w:val="34B32D9D"/>
    <w:rsid w:val="34F914B6"/>
    <w:rsid w:val="351434ED"/>
    <w:rsid w:val="35B96708"/>
    <w:rsid w:val="36074A7F"/>
    <w:rsid w:val="360A5FC3"/>
    <w:rsid w:val="363434D7"/>
    <w:rsid w:val="36596157"/>
    <w:rsid w:val="36923549"/>
    <w:rsid w:val="36B75FBF"/>
    <w:rsid w:val="36E87013"/>
    <w:rsid w:val="36F16AF8"/>
    <w:rsid w:val="36FB4891"/>
    <w:rsid w:val="37004161"/>
    <w:rsid w:val="37364CD4"/>
    <w:rsid w:val="37991DE9"/>
    <w:rsid w:val="37E912DE"/>
    <w:rsid w:val="3811387B"/>
    <w:rsid w:val="3814321D"/>
    <w:rsid w:val="383E051C"/>
    <w:rsid w:val="38685317"/>
    <w:rsid w:val="38795776"/>
    <w:rsid w:val="38B365AD"/>
    <w:rsid w:val="38C61A6A"/>
    <w:rsid w:val="38E47094"/>
    <w:rsid w:val="38F12CD3"/>
    <w:rsid w:val="38F94775"/>
    <w:rsid w:val="392971ED"/>
    <w:rsid w:val="3940305E"/>
    <w:rsid w:val="3A96260F"/>
    <w:rsid w:val="3AC21681"/>
    <w:rsid w:val="3AC4118E"/>
    <w:rsid w:val="3AD74705"/>
    <w:rsid w:val="3B0767B6"/>
    <w:rsid w:val="3B2F55D5"/>
    <w:rsid w:val="3B3763D1"/>
    <w:rsid w:val="3B535197"/>
    <w:rsid w:val="3B641059"/>
    <w:rsid w:val="3B73136D"/>
    <w:rsid w:val="3B7C0CB8"/>
    <w:rsid w:val="3B8C52D4"/>
    <w:rsid w:val="3C6C7BBF"/>
    <w:rsid w:val="3C8749B8"/>
    <w:rsid w:val="3CD43D23"/>
    <w:rsid w:val="3CDA245A"/>
    <w:rsid w:val="3CEE0A37"/>
    <w:rsid w:val="3D350CB6"/>
    <w:rsid w:val="3D6B38C4"/>
    <w:rsid w:val="3D9F4970"/>
    <w:rsid w:val="3E556C61"/>
    <w:rsid w:val="3E661A67"/>
    <w:rsid w:val="3EC94532"/>
    <w:rsid w:val="3EEB314E"/>
    <w:rsid w:val="3EFE0783"/>
    <w:rsid w:val="3F660E74"/>
    <w:rsid w:val="3F67457A"/>
    <w:rsid w:val="3FF2702B"/>
    <w:rsid w:val="40135E66"/>
    <w:rsid w:val="40400708"/>
    <w:rsid w:val="40533CF8"/>
    <w:rsid w:val="405E3910"/>
    <w:rsid w:val="406815BF"/>
    <w:rsid w:val="40754578"/>
    <w:rsid w:val="407A6407"/>
    <w:rsid w:val="408A64D9"/>
    <w:rsid w:val="40976DA4"/>
    <w:rsid w:val="413F265B"/>
    <w:rsid w:val="41DE427E"/>
    <w:rsid w:val="41FA4FA4"/>
    <w:rsid w:val="420B03E7"/>
    <w:rsid w:val="421739EA"/>
    <w:rsid w:val="423A3BCC"/>
    <w:rsid w:val="42447A4E"/>
    <w:rsid w:val="426368CC"/>
    <w:rsid w:val="42FE088A"/>
    <w:rsid w:val="432946F8"/>
    <w:rsid w:val="433A6FE6"/>
    <w:rsid w:val="4350713C"/>
    <w:rsid w:val="436653E0"/>
    <w:rsid w:val="43A318F9"/>
    <w:rsid w:val="43CB5E7C"/>
    <w:rsid w:val="440F5436"/>
    <w:rsid w:val="443674E5"/>
    <w:rsid w:val="445552E9"/>
    <w:rsid w:val="447A5D16"/>
    <w:rsid w:val="44B5657A"/>
    <w:rsid w:val="44CD14E0"/>
    <w:rsid w:val="44EA5CF2"/>
    <w:rsid w:val="44F0290B"/>
    <w:rsid w:val="451E23AA"/>
    <w:rsid w:val="454C32B9"/>
    <w:rsid w:val="458946E9"/>
    <w:rsid w:val="458E53DC"/>
    <w:rsid w:val="45A77451"/>
    <w:rsid w:val="45DE70E5"/>
    <w:rsid w:val="46070934"/>
    <w:rsid w:val="4612711F"/>
    <w:rsid w:val="46184C69"/>
    <w:rsid w:val="469802C4"/>
    <w:rsid w:val="46D802E3"/>
    <w:rsid w:val="46D955A7"/>
    <w:rsid w:val="47133957"/>
    <w:rsid w:val="47382290"/>
    <w:rsid w:val="474451A1"/>
    <w:rsid w:val="47642464"/>
    <w:rsid w:val="4779329E"/>
    <w:rsid w:val="478657BA"/>
    <w:rsid w:val="47A07E0C"/>
    <w:rsid w:val="47EB7590"/>
    <w:rsid w:val="484C14BE"/>
    <w:rsid w:val="4870272E"/>
    <w:rsid w:val="489363E0"/>
    <w:rsid w:val="490146A9"/>
    <w:rsid w:val="492F3277"/>
    <w:rsid w:val="494052FB"/>
    <w:rsid w:val="49440B63"/>
    <w:rsid w:val="495A516A"/>
    <w:rsid w:val="495A6802"/>
    <w:rsid w:val="49606D04"/>
    <w:rsid w:val="49A95686"/>
    <w:rsid w:val="49B02BE8"/>
    <w:rsid w:val="49B16E10"/>
    <w:rsid w:val="49DC7715"/>
    <w:rsid w:val="4A023139"/>
    <w:rsid w:val="4A050277"/>
    <w:rsid w:val="4A110BD0"/>
    <w:rsid w:val="4A1B15D4"/>
    <w:rsid w:val="4A5C430E"/>
    <w:rsid w:val="4A7B576F"/>
    <w:rsid w:val="4A8C32AB"/>
    <w:rsid w:val="4AB1697C"/>
    <w:rsid w:val="4AB201FC"/>
    <w:rsid w:val="4AC07E41"/>
    <w:rsid w:val="4ADA282B"/>
    <w:rsid w:val="4B285593"/>
    <w:rsid w:val="4B580F5E"/>
    <w:rsid w:val="4BC52D55"/>
    <w:rsid w:val="4BF914D8"/>
    <w:rsid w:val="4C3A522A"/>
    <w:rsid w:val="4C4A0649"/>
    <w:rsid w:val="4CB1217B"/>
    <w:rsid w:val="4CCB57D4"/>
    <w:rsid w:val="4CE470D3"/>
    <w:rsid w:val="4D0E7126"/>
    <w:rsid w:val="4D7D1378"/>
    <w:rsid w:val="4DAC4676"/>
    <w:rsid w:val="4DEC4FB0"/>
    <w:rsid w:val="4E075D8A"/>
    <w:rsid w:val="4E281379"/>
    <w:rsid w:val="4E8B7C40"/>
    <w:rsid w:val="4E995F88"/>
    <w:rsid w:val="4EB628BA"/>
    <w:rsid w:val="4F0E1889"/>
    <w:rsid w:val="4FC62A8C"/>
    <w:rsid w:val="4FDA37D4"/>
    <w:rsid w:val="4FE20F0D"/>
    <w:rsid w:val="50104EF6"/>
    <w:rsid w:val="50504C4B"/>
    <w:rsid w:val="50744D49"/>
    <w:rsid w:val="50753013"/>
    <w:rsid w:val="507E6ADC"/>
    <w:rsid w:val="509C6E7C"/>
    <w:rsid w:val="50A63C5D"/>
    <w:rsid w:val="50B0710B"/>
    <w:rsid w:val="50B34CED"/>
    <w:rsid w:val="50D31410"/>
    <w:rsid w:val="50D61560"/>
    <w:rsid w:val="513905BA"/>
    <w:rsid w:val="5162104E"/>
    <w:rsid w:val="516B614C"/>
    <w:rsid w:val="51E25CE3"/>
    <w:rsid w:val="521A7F0A"/>
    <w:rsid w:val="522B2859"/>
    <w:rsid w:val="523A4EA2"/>
    <w:rsid w:val="52733F35"/>
    <w:rsid w:val="52B14033"/>
    <w:rsid w:val="52C5188C"/>
    <w:rsid w:val="52C575CF"/>
    <w:rsid w:val="52E11A47"/>
    <w:rsid w:val="53622B6D"/>
    <w:rsid w:val="53953374"/>
    <w:rsid w:val="539F3735"/>
    <w:rsid w:val="53A039CC"/>
    <w:rsid w:val="53A1505A"/>
    <w:rsid w:val="54063E08"/>
    <w:rsid w:val="543437E8"/>
    <w:rsid w:val="547218D2"/>
    <w:rsid w:val="547A0454"/>
    <w:rsid w:val="54C9553B"/>
    <w:rsid w:val="54E271E5"/>
    <w:rsid w:val="550E2AE6"/>
    <w:rsid w:val="55565613"/>
    <w:rsid w:val="558C48E3"/>
    <w:rsid w:val="559B174B"/>
    <w:rsid w:val="55CE0CF4"/>
    <w:rsid w:val="55E86C44"/>
    <w:rsid w:val="56156174"/>
    <w:rsid w:val="561A0AEC"/>
    <w:rsid w:val="56327787"/>
    <w:rsid w:val="569021B1"/>
    <w:rsid w:val="56B22A9C"/>
    <w:rsid w:val="56DA78A4"/>
    <w:rsid w:val="5703181A"/>
    <w:rsid w:val="573B5462"/>
    <w:rsid w:val="57B72A76"/>
    <w:rsid w:val="58011B93"/>
    <w:rsid w:val="583A3340"/>
    <w:rsid w:val="586B06B3"/>
    <w:rsid w:val="597F73FD"/>
    <w:rsid w:val="59E86582"/>
    <w:rsid w:val="5A0D5E39"/>
    <w:rsid w:val="5A160282"/>
    <w:rsid w:val="5A2C21F1"/>
    <w:rsid w:val="5A36306F"/>
    <w:rsid w:val="5A3C747D"/>
    <w:rsid w:val="5ABE2233"/>
    <w:rsid w:val="5AE06AC4"/>
    <w:rsid w:val="5B12588A"/>
    <w:rsid w:val="5B276D18"/>
    <w:rsid w:val="5B61403B"/>
    <w:rsid w:val="5BC2166C"/>
    <w:rsid w:val="5BDF5D95"/>
    <w:rsid w:val="5BF35A2A"/>
    <w:rsid w:val="5BFB2704"/>
    <w:rsid w:val="5C45621E"/>
    <w:rsid w:val="5C501892"/>
    <w:rsid w:val="5C5F5C05"/>
    <w:rsid w:val="5C7F5770"/>
    <w:rsid w:val="5CBC4DAD"/>
    <w:rsid w:val="5CCC7719"/>
    <w:rsid w:val="5CD85892"/>
    <w:rsid w:val="5D170E5E"/>
    <w:rsid w:val="5D39366B"/>
    <w:rsid w:val="5D705ED5"/>
    <w:rsid w:val="5D736E2B"/>
    <w:rsid w:val="5D924A61"/>
    <w:rsid w:val="5DB05E27"/>
    <w:rsid w:val="5DC50B19"/>
    <w:rsid w:val="5DF87A0F"/>
    <w:rsid w:val="5DFD332F"/>
    <w:rsid w:val="5DFF55FB"/>
    <w:rsid w:val="5E312DE9"/>
    <w:rsid w:val="5EBE6291"/>
    <w:rsid w:val="5F1A2B43"/>
    <w:rsid w:val="5F490A6C"/>
    <w:rsid w:val="5F572C9C"/>
    <w:rsid w:val="5F5C7B1C"/>
    <w:rsid w:val="5F5D21B1"/>
    <w:rsid w:val="5F7E4F7E"/>
    <w:rsid w:val="5FB23DB8"/>
    <w:rsid w:val="5FB4723B"/>
    <w:rsid w:val="5FB837BB"/>
    <w:rsid w:val="5FD76338"/>
    <w:rsid w:val="60025897"/>
    <w:rsid w:val="60391282"/>
    <w:rsid w:val="605129B1"/>
    <w:rsid w:val="605C4EFD"/>
    <w:rsid w:val="60D0204F"/>
    <w:rsid w:val="61301381"/>
    <w:rsid w:val="61694019"/>
    <w:rsid w:val="619A7D86"/>
    <w:rsid w:val="620B4DE2"/>
    <w:rsid w:val="62364782"/>
    <w:rsid w:val="625A5D7C"/>
    <w:rsid w:val="62610F09"/>
    <w:rsid w:val="62F37FAC"/>
    <w:rsid w:val="62F67840"/>
    <w:rsid w:val="63B0639A"/>
    <w:rsid w:val="63D40BE9"/>
    <w:rsid w:val="63E0211F"/>
    <w:rsid w:val="63EB5177"/>
    <w:rsid w:val="63F9617F"/>
    <w:rsid w:val="641E4277"/>
    <w:rsid w:val="64B17A30"/>
    <w:rsid w:val="652C7549"/>
    <w:rsid w:val="65373578"/>
    <w:rsid w:val="65674A25"/>
    <w:rsid w:val="66ED0DCF"/>
    <w:rsid w:val="673F2C7A"/>
    <w:rsid w:val="675E7762"/>
    <w:rsid w:val="67A94E81"/>
    <w:rsid w:val="680E39BE"/>
    <w:rsid w:val="681F6961"/>
    <w:rsid w:val="685017A0"/>
    <w:rsid w:val="68610A2F"/>
    <w:rsid w:val="687F1C8C"/>
    <w:rsid w:val="68805514"/>
    <w:rsid w:val="694A37F8"/>
    <w:rsid w:val="694E2071"/>
    <w:rsid w:val="695C6899"/>
    <w:rsid w:val="6961249A"/>
    <w:rsid w:val="69731BEA"/>
    <w:rsid w:val="697A3B33"/>
    <w:rsid w:val="699E2456"/>
    <w:rsid w:val="69E3660A"/>
    <w:rsid w:val="69F26D9C"/>
    <w:rsid w:val="69FD57DD"/>
    <w:rsid w:val="6A463226"/>
    <w:rsid w:val="6A4D0EAB"/>
    <w:rsid w:val="6ACC54A6"/>
    <w:rsid w:val="6AD87410"/>
    <w:rsid w:val="6ADE50E6"/>
    <w:rsid w:val="6AEE4FF5"/>
    <w:rsid w:val="6B322639"/>
    <w:rsid w:val="6B6F17F0"/>
    <w:rsid w:val="6B8A6A7E"/>
    <w:rsid w:val="6BCB60E1"/>
    <w:rsid w:val="6BCE09A9"/>
    <w:rsid w:val="6BD12DE0"/>
    <w:rsid w:val="6C485263"/>
    <w:rsid w:val="6C636C38"/>
    <w:rsid w:val="6CC059FA"/>
    <w:rsid w:val="6CE65E5C"/>
    <w:rsid w:val="6D4573FA"/>
    <w:rsid w:val="6D485F0B"/>
    <w:rsid w:val="6D843F89"/>
    <w:rsid w:val="6DB34098"/>
    <w:rsid w:val="6DB545B6"/>
    <w:rsid w:val="6DD41490"/>
    <w:rsid w:val="6E1F0372"/>
    <w:rsid w:val="6E4375A0"/>
    <w:rsid w:val="6E514CED"/>
    <w:rsid w:val="6E79491A"/>
    <w:rsid w:val="6E97074D"/>
    <w:rsid w:val="6EAD1E23"/>
    <w:rsid w:val="6EB563D5"/>
    <w:rsid w:val="6ECF6CAA"/>
    <w:rsid w:val="6F1E0AB6"/>
    <w:rsid w:val="6F225983"/>
    <w:rsid w:val="6F2C17D4"/>
    <w:rsid w:val="6F3816F9"/>
    <w:rsid w:val="6F5B5AA7"/>
    <w:rsid w:val="6FFC5590"/>
    <w:rsid w:val="6FFF2C8B"/>
    <w:rsid w:val="7000157C"/>
    <w:rsid w:val="70301DA3"/>
    <w:rsid w:val="703831F0"/>
    <w:rsid w:val="703B1769"/>
    <w:rsid w:val="706D1DD0"/>
    <w:rsid w:val="70763D6E"/>
    <w:rsid w:val="70856B87"/>
    <w:rsid w:val="70930D7D"/>
    <w:rsid w:val="709A3F00"/>
    <w:rsid w:val="709F4EB1"/>
    <w:rsid w:val="70A628A5"/>
    <w:rsid w:val="70AB1B08"/>
    <w:rsid w:val="70D527EE"/>
    <w:rsid w:val="70F133F4"/>
    <w:rsid w:val="712A51C0"/>
    <w:rsid w:val="713A7934"/>
    <w:rsid w:val="715B5300"/>
    <w:rsid w:val="715F4BD7"/>
    <w:rsid w:val="71797C28"/>
    <w:rsid w:val="719721EE"/>
    <w:rsid w:val="71D27F8A"/>
    <w:rsid w:val="71EF18F4"/>
    <w:rsid w:val="71F238C8"/>
    <w:rsid w:val="71F744C6"/>
    <w:rsid w:val="71F960CF"/>
    <w:rsid w:val="72062ED0"/>
    <w:rsid w:val="726A1D0C"/>
    <w:rsid w:val="72BC2352"/>
    <w:rsid w:val="72CC236B"/>
    <w:rsid w:val="731F5D5E"/>
    <w:rsid w:val="73397AAF"/>
    <w:rsid w:val="73497518"/>
    <w:rsid w:val="73DE291E"/>
    <w:rsid w:val="741E793C"/>
    <w:rsid w:val="743D628F"/>
    <w:rsid w:val="74600EC3"/>
    <w:rsid w:val="746217A5"/>
    <w:rsid w:val="749701C1"/>
    <w:rsid w:val="74E27C24"/>
    <w:rsid w:val="754730F9"/>
    <w:rsid w:val="75743D9F"/>
    <w:rsid w:val="758806B2"/>
    <w:rsid w:val="758D75E2"/>
    <w:rsid w:val="761F2D35"/>
    <w:rsid w:val="76C20A59"/>
    <w:rsid w:val="76FD0D45"/>
    <w:rsid w:val="77762421"/>
    <w:rsid w:val="780F09F4"/>
    <w:rsid w:val="784F3AF4"/>
    <w:rsid w:val="787F7D32"/>
    <w:rsid w:val="789C4F47"/>
    <w:rsid w:val="78A90480"/>
    <w:rsid w:val="792202C7"/>
    <w:rsid w:val="79372DCC"/>
    <w:rsid w:val="793900FA"/>
    <w:rsid w:val="79782950"/>
    <w:rsid w:val="79811327"/>
    <w:rsid w:val="79CB5DC4"/>
    <w:rsid w:val="79E667DE"/>
    <w:rsid w:val="7A364017"/>
    <w:rsid w:val="7A6F15B2"/>
    <w:rsid w:val="7A7679A3"/>
    <w:rsid w:val="7A8265E1"/>
    <w:rsid w:val="7AC06311"/>
    <w:rsid w:val="7AD5254E"/>
    <w:rsid w:val="7AD72F66"/>
    <w:rsid w:val="7B01586C"/>
    <w:rsid w:val="7B126F56"/>
    <w:rsid w:val="7B173CCE"/>
    <w:rsid w:val="7B205A39"/>
    <w:rsid w:val="7B686D42"/>
    <w:rsid w:val="7B841746"/>
    <w:rsid w:val="7BA77E7D"/>
    <w:rsid w:val="7C084414"/>
    <w:rsid w:val="7C0E5762"/>
    <w:rsid w:val="7C1C4D56"/>
    <w:rsid w:val="7C2D2259"/>
    <w:rsid w:val="7C490B91"/>
    <w:rsid w:val="7CAB04EC"/>
    <w:rsid w:val="7CE46B18"/>
    <w:rsid w:val="7D0239FF"/>
    <w:rsid w:val="7D2646F6"/>
    <w:rsid w:val="7D2768E0"/>
    <w:rsid w:val="7D500A9A"/>
    <w:rsid w:val="7D5E40CD"/>
    <w:rsid w:val="7D6055E2"/>
    <w:rsid w:val="7D693BED"/>
    <w:rsid w:val="7DF62A1E"/>
    <w:rsid w:val="7E171BC2"/>
    <w:rsid w:val="7E1F3C97"/>
    <w:rsid w:val="7E2359DE"/>
    <w:rsid w:val="7E3D5692"/>
    <w:rsid w:val="7E611C97"/>
    <w:rsid w:val="7E812318"/>
    <w:rsid w:val="7E930AEB"/>
    <w:rsid w:val="7EAC170B"/>
    <w:rsid w:val="7ECE2838"/>
    <w:rsid w:val="7EED3B82"/>
    <w:rsid w:val="7EFE46FB"/>
    <w:rsid w:val="7F0F7867"/>
    <w:rsid w:val="7FB25F8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0"/>
    <w:unhideWhenUsed/>
    <w:qFormat/>
    <w:uiPriority w:val="0"/>
    <w:pPr>
      <w:ind w:firstLine="420" w:firstLineChars="200"/>
      <w:jc w:val="left"/>
    </w:pPr>
    <w:rPr>
      <w:lang w:val="zh-CN"/>
    </w:rPr>
  </w:style>
  <w:style w:type="paragraph" w:styleId="5">
    <w:name w:val="caption"/>
    <w:basedOn w:val="1"/>
    <w:next w:val="1"/>
    <w:link w:val="71"/>
    <w:unhideWhenUsed/>
    <w:qFormat/>
    <w:locked/>
    <w:uiPriority w:val="0"/>
    <w:pPr>
      <w:spacing w:line="360" w:lineRule="auto"/>
      <w:ind w:firstLine="200" w:firstLineChars="200"/>
      <w:jc w:val="left"/>
    </w:pPr>
    <w:rPr>
      <w:rFonts w:ascii="Arial" w:hAnsi="Arial" w:eastAsia="黑体"/>
      <w:sz w:val="20"/>
      <w:szCs w:val="20"/>
      <w:lang w:val="zh-CN"/>
    </w:rPr>
  </w:style>
  <w:style w:type="paragraph" w:styleId="6">
    <w:name w:val="Document Map"/>
    <w:basedOn w:val="1"/>
    <w:link w:val="49"/>
    <w:qFormat/>
    <w:uiPriority w:val="0"/>
    <w:rPr>
      <w:rFonts w:ascii="宋体"/>
      <w:sz w:val="18"/>
      <w:szCs w:val="18"/>
    </w:rPr>
  </w:style>
  <w:style w:type="paragraph" w:styleId="7">
    <w:name w:val="annotation text"/>
    <w:basedOn w:val="1"/>
    <w:link w:val="43"/>
    <w:qFormat/>
    <w:uiPriority w:val="99"/>
    <w:pPr>
      <w:jc w:val="left"/>
    </w:pPr>
    <w:rPr>
      <w:kern w:val="0"/>
      <w:sz w:val="24"/>
      <w:szCs w:val="20"/>
      <w:lang w:val="zh-CN"/>
    </w:rPr>
  </w:style>
  <w:style w:type="paragraph" w:styleId="8">
    <w:name w:val="Body Text"/>
    <w:basedOn w:val="1"/>
    <w:next w:val="1"/>
    <w:link w:val="34"/>
    <w:qFormat/>
    <w:uiPriority w:val="0"/>
    <w:pPr>
      <w:widowControl/>
      <w:snapToGrid w:val="0"/>
      <w:spacing w:before="60" w:after="160" w:line="259" w:lineRule="auto"/>
      <w:ind w:right="113"/>
    </w:pPr>
    <w:rPr>
      <w:kern w:val="0"/>
      <w:sz w:val="18"/>
      <w:szCs w:val="20"/>
      <w:lang w:val="zh-CN"/>
    </w:rPr>
  </w:style>
  <w:style w:type="paragraph" w:styleId="9">
    <w:name w:val="Body Text Indent"/>
    <w:basedOn w:val="1"/>
    <w:link w:val="45"/>
    <w:semiHidden/>
    <w:qFormat/>
    <w:uiPriority w:val="0"/>
    <w:pPr>
      <w:spacing w:after="120"/>
      <w:ind w:left="420" w:leftChars="200"/>
    </w:pPr>
  </w:style>
  <w:style w:type="paragraph" w:styleId="10">
    <w:name w:val="Plain Text"/>
    <w:basedOn w:val="1"/>
    <w:qFormat/>
    <w:uiPriority w:val="0"/>
    <w:rPr>
      <w:rFonts w:ascii="宋体" w:hAnsi="Courier New"/>
    </w:rPr>
  </w:style>
  <w:style w:type="paragraph" w:styleId="11">
    <w:name w:val="Date"/>
    <w:basedOn w:val="1"/>
    <w:next w:val="1"/>
    <w:link w:val="36"/>
    <w:qFormat/>
    <w:uiPriority w:val="0"/>
    <w:pPr>
      <w:ind w:left="100" w:leftChars="2500"/>
    </w:pPr>
    <w:rPr>
      <w:kern w:val="0"/>
      <w:sz w:val="24"/>
      <w:szCs w:val="20"/>
      <w:lang w:val="zh-CN"/>
    </w:rPr>
  </w:style>
  <w:style w:type="paragraph" w:styleId="12">
    <w:name w:val="Balloon Text"/>
    <w:basedOn w:val="1"/>
    <w:link w:val="42"/>
    <w:semiHidden/>
    <w:qFormat/>
    <w:uiPriority w:val="0"/>
    <w:rPr>
      <w:sz w:val="18"/>
      <w:szCs w:val="18"/>
    </w:rPr>
  </w:style>
  <w:style w:type="paragraph" w:styleId="13">
    <w:name w:val="footer"/>
    <w:basedOn w:val="1"/>
    <w:link w:val="33"/>
    <w:qFormat/>
    <w:uiPriority w:val="99"/>
    <w:pPr>
      <w:tabs>
        <w:tab w:val="center" w:pos="4153"/>
        <w:tab w:val="right" w:pos="8306"/>
      </w:tabs>
      <w:snapToGrid w:val="0"/>
      <w:jc w:val="left"/>
    </w:pPr>
    <w:rPr>
      <w:sz w:val="18"/>
      <w:szCs w:val="18"/>
    </w:rPr>
  </w:style>
  <w:style w:type="paragraph" w:styleId="14">
    <w:name w:val="header"/>
    <w:basedOn w:val="1"/>
    <w:next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locked/>
    <w:uiPriority w:val="39"/>
  </w:style>
  <w:style w:type="paragraph" w:styleId="16">
    <w:name w:val="toc 2"/>
    <w:basedOn w:val="1"/>
    <w:next w:val="1"/>
    <w:qFormat/>
    <w:locked/>
    <w:uiPriority w:val="39"/>
    <w:pPr>
      <w:ind w:left="420" w:leftChars="200"/>
    </w:pPr>
  </w:style>
  <w:style w:type="paragraph" w:styleId="17">
    <w:name w:val="Normal (Web)"/>
    <w:basedOn w:val="1"/>
    <w:link w:val="35"/>
    <w:qFormat/>
    <w:uiPriority w:val="0"/>
    <w:pPr>
      <w:widowControl/>
      <w:spacing w:before="100" w:beforeAutospacing="1" w:after="100" w:afterAutospacing="1"/>
      <w:jc w:val="left"/>
    </w:pPr>
    <w:rPr>
      <w:rFonts w:ascii="宋体" w:hAnsi="宋体"/>
      <w:kern w:val="0"/>
      <w:sz w:val="24"/>
      <w:szCs w:val="20"/>
      <w:lang w:val="zh-CN"/>
    </w:rPr>
  </w:style>
  <w:style w:type="paragraph" w:styleId="18">
    <w:name w:val="annotation subject"/>
    <w:basedOn w:val="7"/>
    <w:next w:val="7"/>
    <w:link w:val="46"/>
    <w:semiHidden/>
    <w:qFormat/>
    <w:uiPriority w:val="0"/>
    <w:rPr>
      <w:b/>
      <w:bCs/>
    </w:rPr>
  </w:style>
  <w:style w:type="paragraph" w:styleId="19">
    <w:name w:val="Body Text First Indent"/>
    <w:basedOn w:val="8"/>
    <w:link w:val="63"/>
    <w:unhideWhenUsed/>
    <w:qFormat/>
    <w:uiPriority w:val="99"/>
    <w:pPr>
      <w:widowControl w:val="0"/>
      <w:snapToGrid/>
      <w:spacing w:before="0" w:after="120" w:line="240" w:lineRule="auto"/>
      <w:ind w:right="0" w:firstLine="420" w:firstLineChars="100"/>
      <w:jc w:val="left"/>
    </w:pPr>
    <w:rPr>
      <w:kern w:val="2"/>
      <w:sz w:val="21"/>
      <w:szCs w:val="24"/>
    </w:rPr>
  </w:style>
  <w:style w:type="paragraph" w:styleId="20">
    <w:name w:val="Body Text First Indent 2"/>
    <w:basedOn w:val="9"/>
    <w:qFormat/>
    <w:uiPriority w:val="99"/>
    <w:pPr>
      <w:ind w:firstLine="420" w:firstLineChars="200"/>
    </w:p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locked/>
    <w:uiPriority w:val="0"/>
    <w:rPr>
      <w:b/>
    </w:rPr>
  </w:style>
  <w:style w:type="character" w:styleId="25">
    <w:name w:val="page number"/>
    <w:basedOn w:val="23"/>
    <w:qFormat/>
    <w:uiPriority w:val="0"/>
  </w:style>
  <w:style w:type="character" w:styleId="26">
    <w:name w:val="Hyperlink"/>
    <w:basedOn w:val="23"/>
    <w:unhideWhenUsed/>
    <w:qFormat/>
    <w:uiPriority w:val="99"/>
    <w:rPr>
      <w:color w:val="0000FF"/>
      <w:u w:val="single"/>
    </w:rPr>
  </w:style>
  <w:style w:type="character" w:styleId="27">
    <w:name w:val="annotation reference"/>
    <w:basedOn w:val="23"/>
    <w:semiHidden/>
    <w:qFormat/>
    <w:uiPriority w:val="0"/>
    <w:rPr>
      <w:sz w:val="21"/>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样式 四号"/>
    <w:basedOn w:val="1"/>
    <w:qFormat/>
    <w:uiPriority w:val="99"/>
    <w:pPr>
      <w:ind w:firstLine="480"/>
    </w:pPr>
    <w:rPr>
      <w:rFonts w:ascii="宋体"/>
      <w:sz w:val="24"/>
    </w:rPr>
  </w:style>
  <w:style w:type="paragraph" w:customStyle="1" w:styleId="30">
    <w:name w:val="正文格式"/>
    <w:basedOn w:val="31"/>
    <w:qFormat/>
    <w:uiPriority w:val="0"/>
    <w:pPr>
      <w:spacing w:line="610" w:lineRule="exact"/>
      <w:ind w:firstLine="640"/>
    </w:pPr>
    <w:rPr>
      <w:rFonts w:ascii="仿宋_GB2312" w:eastAsia="仿宋_GB2312"/>
      <w:color w:val="000000"/>
      <w:sz w:val="30"/>
      <w:szCs w:val="32"/>
    </w:rPr>
  </w:style>
  <w:style w:type="paragraph" w:customStyle="1" w:styleId="31">
    <w:name w:val="样式 (西文) Times New Roman (中文) 宋体 首行缩进:  2 字符"/>
    <w:basedOn w:val="1"/>
    <w:qFormat/>
    <w:uiPriority w:val="0"/>
    <w:pPr>
      <w:ind w:firstLine="560"/>
    </w:pPr>
    <w:rPr>
      <w:rFonts w:cs="宋体"/>
    </w:rPr>
  </w:style>
  <w:style w:type="character" w:customStyle="1" w:styleId="32">
    <w:name w:val="页眉 字符"/>
    <w:basedOn w:val="23"/>
    <w:link w:val="14"/>
    <w:qFormat/>
    <w:locked/>
    <w:uiPriority w:val="0"/>
    <w:rPr>
      <w:rFonts w:cs="Times New Roman"/>
      <w:sz w:val="18"/>
      <w:szCs w:val="18"/>
    </w:rPr>
  </w:style>
  <w:style w:type="character" w:customStyle="1" w:styleId="33">
    <w:name w:val="页脚 字符"/>
    <w:basedOn w:val="23"/>
    <w:link w:val="13"/>
    <w:qFormat/>
    <w:locked/>
    <w:uiPriority w:val="99"/>
    <w:rPr>
      <w:rFonts w:cs="Times New Roman"/>
      <w:sz w:val="18"/>
      <w:szCs w:val="18"/>
    </w:rPr>
  </w:style>
  <w:style w:type="character" w:customStyle="1" w:styleId="34">
    <w:name w:val="正文文本 字符"/>
    <w:link w:val="8"/>
    <w:qFormat/>
    <w:locked/>
    <w:uiPriority w:val="99"/>
    <w:rPr>
      <w:sz w:val="18"/>
    </w:rPr>
  </w:style>
  <w:style w:type="character" w:customStyle="1" w:styleId="35">
    <w:name w:val="普通(网站) 字符"/>
    <w:link w:val="17"/>
    <w:qFormat/>
    <w:locked/>
    <w:uiPriority w:val="0"/>
    <w:rPr>
      <w:rFonts w:ascii="宋体" w:hAnsi="宋体" w:eastAsia="宋体"/>
      <w:sz w:val="24"/>
    </w:rPr>
  </w:style>
  <w:style w:type="character" w:customStyle="1" w:styleId="36">
    <w:name w:val="日期 字符1"/>
    <w:link w:val="11"/>
    <w:qFormat/>
    <w:locked/>
    <w:uiPriority w:val="0"/>
    <w:rPr>
      <w:rFonts w:ascii="Times New Roman" w:hAnsi="Times New Roman" w:eastAsia="宋体"/>
      <w:sz w:val="24"/>
    </w:rPr>
  </w:style>
  <w:style w:type="character" w:customStyle="1" w:styleId="37">
    <w:name w:val="日期 字符"/>
    <w:basedOn w:val="23"/>
    <w:semiHidden/>
    <w:qFormat/>
    <w:uiPriority w:val="0"/>
    <w:rPr>
      <w:rFonts w:ascii="Times New Roman" w:hAnsi="Times New Roman" w:eastAsia="宋体" w:cs="Times New Roman"/>
      <w:sz w:val="24"/>
      <w:szCs w:val="24"/>
    </w:rPr>
  </w:style>
  <w:style w:type="character" w:customStyle="1" w:styleId="38">
    <w:name w:val="正文文本 字符1"/>
    <w:basedOn w:val="23"/>
    <w:semiHidden/>
    <w:qFormat/>
    <w:uiPriority w:val="0"/>
    <w:rPr>
      <w:rFonts w:ascii="Times New Roman" w:hAnsi="Times New Roman" w:eastAsia="宋体" w:cs="Times New Roman"/>
      <w:sz w:val="24"/>
      <w:szCs w:val="24"/>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Cs w:val="20"/>
      <w:lang w:val="zh-CN"/>
    </w:rPr>
  </w:style>
  <w:style w:type="character" w:customStyle="1" w:styleId="42">
    <w:name w:val="批注框文本 字符"/>
    <w:basedOn w:val="23"/>
    <w:link w:val="12"/>
    <w:semiHidden/>
    <w:qFormat/>
    <w:locked/>
    <w:uiPriority w:val="0"/>
    <w:rPr>
      <w:rFonts w:ascii="Times New Roman" w:hAnsi="Times New Roman" w:eastAsia="宋体" w:cs="Times New Roman"/>
      <w:sz w:val="18"/>
      <w:szCs w:val="18"/>
    </w:rPr>
  </w:style>
  <w:style w:type="character" w:customStyle="1" w:styleId="43">
    <w:name w:val="批注文字 字符"/>
    <w:link w:val="7"/>
    <w:qFormat/>
    <w:locked/>
    <w:uiPriority w:val="99"/>
    <w:rPr>
      <w:rFonts w:ascii="Times New Roman" w:hAnsi="Times New Roman" w:eastAsia="宋体"/>
      <w:sz w:val="24"/>
    </w:rPr>
  </w:style>
  <w:style w:type="character" w:customStyle="1" w:styleId="44">
    <w:name w:val="批注文字 字符1"/>
    <w:basedOn w:val="23"/>
    <w:semiHidden/>
    <w:qFormat/>
    <w:uiPriority w:val="0"/>
    <w:rPr>
      <w:rFonts w:ascii="Times New Roman" w:hAnsi="Times New Roman" w:eastAsia="宋体" w:cs="Times New Roman"/>
      <w:sz w:val="24"/>
      <w:szCs w:val="24"/>
    </w:rPr>
  </w:style>
  <w:style w:type="character" w:customStyle="1" w:styleId="45">
    <w:name w:val="正文文本缩进 字符"/>
    <w:basedOn w:val="23"/>
    <w:link w:val="9"/>
    <w:semiHidden/>
    <w:qFormat/>
    <w:locked/>
    <w:uiPriority w:val="0"/>
    <w:rPr>
      <w:rFonts w:ascii="Times New Roman" w:hAnsi="Times New Roman" w:eastAsia="宋体" w:cs="Times New Roman"/>
      <w:sz w:val="24"/>
      <w:szCs w:val="24"/>
    </w:rPr>
  </w:style>
  <w:style w:type="character" w:customStyle="1" w:styleId="46">
    <w:name w:val="批注主题 字符"/>
    <w:basedOn w:val="43"/>
    <w:link w:val="18"/>
    <w:semiHidden/>
    <w:qFormat/>
    <w:locked/>
    <w:uiPriority w:val="0"/>
    <w:rPr>
      <w:rFonts w:ascii="Times New Roman" w:hAnsi="Times New Roman" w:eastAsia="宋体" w:cs="Times New Roman"/>
      <w:b/>
      <w:bCs/>
      <w:kern w:val="2"/>
      <w:sz w:val="24"/>
      <w:szCs w:val="24"/>
    </w:rPr>
  </w:style>
  <w:style w:type="character" w:customStyle="1" w:styleId="47">
    <w:name w:val="普通(网站) Char"/>
    <w:qFormat/>
    <w:locked/>
    <w:uiPriority w:val="0"/>
    <w:rPr>
      <w:rFonts w:ascii="宋体" w:hAnsi="宋体" w:eastAsia="宋体"/>
      <w:sz w:val="24"/>
    </w:rPr>
  </w:style>
  <w:style w:type="character" w:customStyle="1" w:styleId="48">
    <w:name w:val="批注文字 Char1"/>
    <w:qFormat/>
    <w:locked/>
    <w:uiPriority w:val="99"/>
    <w:rPr>
      <w:kern w:val="2"/>
      <w:sz w:val="21"/>
      <w:lang w:val="zh-CN" w:eastAsia="zh-CN"/>
    </w:rPr>
  </w:style>
  <w:style w:type="character" w:customStyle="1" w:styleId="49">
    <w:name w:val="文档结构图 字符"/>
    <w:basedOn w:val="23"/>
    <w:link w:val="6"/>
    <w:qFormat/>
    <w:uiPriority w:val="0"/>
    <w:rPr>
      <w:rFonts w:ascii="宋体"/>
      <w:kern w:val="2"/>
      <w:sz w:val="18"/>
      <w:szCs w:val="18"/>
    </w:rPr>
  </w:style>
  <w:style w:type="character" w:customStyle="1" w:styleId="50">
    <w:name w:val="正文缩进 字符"/>
    <w:link w:val="2"/>
    <w:qFormat/>
    <w:locked/>
    <w:uiPriority w:val="0"/>
    <w:rPr>
      <w:kern w:val="2"/>
      <w:sz w:val="21"/>
      <w:szCs w:val="24"/>
    </w:rPr>
  </w:style>
  <w:style w:type="character" w:customStyle="1" w:styleId="51">
    <w:name w:val="君邦正文 Char Char"/>
    <w:link w:val="52"/>
    <w:qFormat/>
    <w:locked/>
    <w:uiPriority w:val="0"/>
    <w:rPr>
      <w:kern w:val="2"/>
      <w:sz w:val="24"/>
      <w:lang w:val="en-US" w:eastAsia="zh-CN" w:bidi="ar-SA"/>
    </w:rPr>
  </w:style>
  <w:style w:type="paragraph" w:customStyle="1" w:styleId="52">
    <w:name w:val="君邦正文"/>
    <w:link w:val="51"/>
    <w:qFormat/>
    <w:uiPriority w:val="0"/>
    <w:pPr>
      <w:spacing w:line="360" w:lineRule="auto"/>
      <w:ind w:firstLine="200" w:firstLineChars="200"/>
      <w:jc w:val="both"/>
    </w:pPr>
    <w:rPr>
      <w:rFonts w:ascii="Times New Roman" w:hAnsi="Times New Roman" w:eastAsia="宋体" w:cs="Times New Roman"/>
      <w:kern w:val="2"/>
      <w:sz w:val="24"/>
      <w:lang w:val="en-US" w:eastAsia="zh-CN" w:bidi="ar-SA"/>
    </w:rPr>
  </w:style>
  <w:style w:type="character" w:customStyle="1" w:styleId="53">
    <w:name w:val="报告正文 Char"/>
    <w:link w:val="54"/>
    <w:qFormat/>
    <w:locked/>
    <w:uiPriority w:val="0"/>
    <w:rPr>
      <w:sz w:val="24"/>
    </w:rPr>
  </w:style>
  <w:style w:type="paragraph" w:customStyle="1" w:styleId="54">
    <w:name w:val="报告正文"/>
    <w:basedOn w:val="1"/>
    <w:link w:val="53"/>
    <w:qFormat/>
    <w:uiPriority w:val="0"/>
    <w:pPr>
      <w:spacing w:line="490" w:lineRule="exact"/>
      <w:ind w:firstLine="200" w:firstLineChars="200"/>
      <w:jc w:val="left"/>
    </w:pPr>
    <w:rPr>
      <w:kern w:val="0"/>
      <w:sz w:val="24"/>
      <w:szCs w:val="20"/>
      <w:lang w:val="zh-CN"/>
    </w:rPr>
  </w:style>
  <w:style w:type="character" w:customStyle="1" w:styleId="55">
    <w:name w:val="zw Char Char"/>
    <w:link w:val="56"/>
    <w:qFormat/>
    <w:locked/>
    <w:uiPriority w:val="0"/>
    <w:rPr>
      <w:kern w:val="2"/>
      <w:sz w:val="28"/>
      <w:szCs w:val="28"/>
    </w:rPr>
  </w:style>
  <w:style w:type="paragraph" w:customStyle="1" w:styleId="56">
    <w:name w:val="zw"/>
    <w:basedOn w:val="8"/>
    <w:next w:val="1"/>
    <w:link w:val="55"/>
    <w:qFormat/>
    <w:uiPriority w:val="0"/>
    <w:pPr>
      <w:spacing w:line="600" w:lineRule="atLeast"/>
      <w:ind w:firstLine="524" w:firstLineChars="187"/>
      <w:jc w:val="left"/>
    </w:pPr>
    <w:rPr>
      <w:sz w:val="28"/>
      <w:szCs w:val="28"/>
    </w:rPr>
  </w:style>
  <w:style w:type="character" w:customStyle="1" w:styleId="57">
    <w:name w:val="正文(首行缩进) Char Char"/>
    <w:link w:val="58"/>
    <w:qFormat/>
    <w:locked/>
    <w:uiPriority w:val="0"/>
    <w:rPr>
      <w:snapToGrid w:val="0"/>
      <w:sz w:val="24"/>
      <w:szCs w:val="24"/>
    </w:rPr>
  </w:style>
  <w:style w:type="paragraph" w:customStyle="1" w:styleId="58">
    <w:name w:val="正文(首行缩进)"/>
    <w:basedOn w:val="1"/>
    <w:link w:val="57"/>
    <w:qFormat/>
    <w:uiPriority w:val="0"/>
    <w:pPr>
      <w:adjustRightInd w:val="0"/>
      <w:snapToGrid w:val="0"/>
      <w:spacing w:line="360" w:lineRule="auto"/>
      <w:ind w:firstLine="200" w:firstLineChars="200"/>
      <w:jc w:val="left"/>
    </w:pPr>
    <w:rPr>
      <w:snapToGrid w:val="0"/>
      <w:kern w:val="0"/>
      <w:sz w:val="24"/>
      <w:lang w:val="zh-CN"/>
    </w:rPr>
  </w:style>
  <w:style w:type="character" w:customStyle="1" w:styleId="59">
    <w:name w:val="表格 Char Char Char"/>
    <w:qFormat/>
    <w:locked/>
    <w:uiPriority w:val="0"/>
    <w:rPr>
      <w:rFonts w:ascii="Arial" w:hAnsi="Arial" w:cs="Arial"/>
      <w:color w:val="000000"/>
      <w:kern w:val="2"/>
      <w:sz w:val="21"/>
      <w:szCs w:val="18"/>
    </w:rPr>
  </w:style>
  <w:style w:type="character" w:customStyle="1" w:styleId="60">
    <w:name w:val="LNY正文样式 Char"/>
    <w:link w:val="61"/>
    <w:qFormat/>
    <w:locked/>
    <w:uiPriority w:val="0"/>
    <w:rPr>
      <w:color w:val="000000"/>
      <w:sz w:val="24"/>
      <w:szCs w:val="24"/>
      <w:lang w:val="zh-CN" w:eastAsia="zh-CN"/>
    </w:rPr>
  </w:style>
  <w:style w:type="paragraph" w:customStyle="1" w:styleId="61">
    <w:name w:val="LNY正文样式"/>
    <w:basedOn w:val="62"/>
    <w:link w:val="60"/>
    <w:qFormat/>
    <w:uiPriority w:val="0"/>
    <w:pPr>
      <w:spacing w:line="360" w:lineRule="auto"/>
      <w:ind w:firstLine="480"/>
    </w:pPr>
    <w:rPr>
      <w:color w:val="000000"/>
      <w:kern w:val="0"/>
      <w:sz w:val="24"/>
      <w:lang w:val="zh-CN"/>
    </w:rPr>
  </w:style>
  <w:style w:type="paragraph" w:styleId="62">
    <w:name w:val="List Paragraph"/>
    <w:basedOn w:val="1"/>
    <w:qFormat/>
    <w:uiPriority w:val="34"/>
    <w:pPr>
      <w:ind w:firstLine="420" w:firstLineChars="200"/>
    </w:pPr>
  </w:style>
  <w:style w:type="character" w:customStyle="1" w:styleId="63">
    <w:name w:val="正文文本首行缩进 字符"/>
    <w:basedOn w:val="34"/>
    <w:link w:val="19"/>
    <w:qFormat/>
    <w:locked/>
    <w:uiPriority w:val="99"/>
    <w:rPr>
      <w:kern w:val="2"/>
      <w:sz w:val="21"/>
      <w:szCs w:val="24"/>
      <w:lang w:val="zh-CN" w:eastAsia="zh-CN"/>
    </w:rPr>
  </w:style>
  <w:style w:type="character" w:customStyle="1" w:styleId="64">
    <w:name w:val="正文首行缩进 Char1"/>
    <w:basedOn w:val="34"/>
    <w:qFormat/>
    <w:uiPriority w:val="99"/>
    <w:rPr>
      <w:kern w:val="2"/>
      <w:sz w:val="21"/>
      <w:szCs w:val="24"/>
    </w:rPr>
  </w:style>
  <w:style w:type="paragraph" w:customStyle="1" w:styleId="65">
    <w:name w:val="Table Paragraph"/>
    <w:basedOn w:val="1"/>
    <w:qFormat/>
    <w:uiPriority w:val="1"/>
    <w:pPr>
      <w:jc w:val="left"/>
    </w:pPr>
    <w:rPr>
      <w:rFonts w:ascii="Calibri" w:hAnsi="Calibri"/>
      <w:kern w:val="0"/>
      <w:sz w:val="22"/>
      <w:szCs w:val="22"/>
      <w:lang w:eastAsia="en-US"/>
    </w:rPr>
  </w:style>
  <w:style w:type="character" w:customStyle="1" w:styleId="66">
    <w:name w:val="表格-lh Char"/>
    <w:link w:val="67"/>
    <w:qFormat/>
    <w:locked/>
    <w:uiPriority w:val="0"/>
    <w:rPr>
      <w:kern w:val="2"/>
      <w:sz w:val="21"/>
      <w:szCs w:val="21"/>
      <w:lang w:val="zh-CN" w:eastAsia="zh-CN"/>
    </w:rPr>
  </w:style>
  <w:style w:type="paragraph" w:customStyle="1" w:styleId="67">
    <w:name w:val="表格-lh"/>
    <w:basedOn w:val="1"/>
    <w:link w:val="66"/>
    <w:qFormat/>
    <w:uiPriority w:val="0"/>
    <w:pPr>
      <w:widowControl/>
      <w:jc w:val="center"/>
    </w:pPr>
    <w:rPr>
      <w:szCs w:val="21"/>
      <w:lang w:val="zh-CN"/>
    </w:rPr>
  </w:style>
  <w:style w:type="character" w:customStyle="1" w:styleId="68">
    <w:name w:val="fontstyle01"/>
    <w:qFormat/>
    <w:uiPriority w:val="0"/>
    <w:rPr>
      <w:rFonts w:hint="eastAsia" w:ascii="宋体" w:hAnsi="宋体" w:eastAsia="宋体"/>
      <w:color w:val="050100"/>
      <w:sz w:val="24"/>
      <w:szCs w:val="24"/>
    </w:rPr>
  </w:style>
  <w:style w:type="character" w:customStyle="1" w:styleId="69">
    <w:name w:val="aa正文 Char"/>
    <w:link w:val="70"/>
    <w:qFormat/>
    <w:locked/>
    <w:uiPriority w:val="0"/>
    <w:rPr>
      <w:bCs/>
      <w:snapToGrid w:val="0"/>
      <w:color w:val="000000"/>
      <w:sz w:val="24"/>
      <w:szCs w:val="24"/>
    </w:rPr>
  </w:style>
  <w:style w:type="paragraph" w:customStyle="1" w:styleId="70">
    <w:name w:val="aa正文"/>
    <w:basedOn w:val="1"/>
    <w:link w:val="69"/>
    <w:qFormat/>
    <w:uiPriority w:val="0"/>
    <w:pPr>
      <w:snapToGrid w:val="0"/>
      <w:spacing w:line="500" w:lineRule="exact"/>
      <w:ind w:firstLine="200" w:firstLineChars="200"/>
    </w:pPr>
    <w:rPr>
      <w:bCs/>
      <w:snapToGrid w:val="0"/>
      <w:color w:val="000000"/>
      <w:kern w:val="0"/>
      <w:sz w:val="24"/>
      <w:lang w:val="zh-CN"/>
    </w:rPr>
  </w:style>
  <w:style w:type="character" w:customStyle="1" w:styleId="71">
    <w:name w:val="题注 字符"/>
    <w:link w:val="5"/>
    <w:semiHidden/>
    <w:qFormat/>
    <w:locked/>
    <w:uiPriority w:val="0"/>
    <w:rPr>
      <w:rFonts w:ascii="Arial" w:hAnsi="Arial" w:eastAsia="黑体" w:cs="Arial"/>
      <w:kern w:val="2"/>
      <w:lang w:val="zh-CN" w:eastAsia="zh-CN"/>
    </w:rPr>
  </w:style>
  <w:style w:type="character" w:customStyle="1" w:styleId="72">
    <w:name w:val="表格-题注 Char"/>
    <w:link w:val="73"/>
    <w:qFormat/>
    <w:locked/>
    <w:uiPriority w:val="0"/>
    <w:rPr>
      <w:b/>
      <w:lang w:val="zh-CN" w:eastAsia="zh-CN"/>
    </w:rPr>
  </w:style>
  <w:style w:type="paragraph" w:customStyle="1" w:styleId="73">
    <w:name w:val="表格-题注"/>
    <w:basedOn w:val="1"/>
    <w:link w:val="72"/>
    <w:qFormat/>
    <w:uiPriority w:val="0"/>
    <w:pPr>
      <w:spacing w:beforeLines="50" w:afterLines="50"/>
      <w:jc w:val="center"/>
    </w:pPr>
    <w:rPr>
      <w:b/>
      <w:kern w:val="0"/>
      <w:sz w:val="20"/>
      <w:szCs w:val="20"/>
      <w:lang w:val="zh-CN"/>
    </w:rPr>
  </w:style>
  <w:style w:type="paragraph" w:customStyle="1" w:styleId="74">
    <w:name w:val="CM1"/>
    <w:basedOn w:val="1"/>
    <w:next w:val="1"/>
    <w:qFormat/>
    <w:uiPriority w:val="99"/>
    <w:pPr>
      <w:autoSpaceDE w:val="0"/>
      <w:autoSpaceDN w:val="0"/>
      <w:adjustRightInd w:val="0"/>
      <w:spacing w:line="471" w:lineRule="atLeast"/>
      <w:jc w:val="left"/>
    </w:pPr>
    <w:rPr>
      <w:rFonts w:ascii="宋体" w:hAnsi="Calibri"/>
      <w:kern w:val="0"/>
      <w:sz w:val="24"/>
    </w:rPr>
  </w:style>
  <w:style w:type="character" w:customStyle="1" w:styleId="75">
    <w:name w:val="正文文本 Char"/>
    <w:qFormat/>
    <w:uiPriority w:val="0"/>
    <w:rPr>
      <w:rFonts w:ascii="Times New Roman" w:hAnsi="Times New Roman" w:eastAsia="宋体" w:cs="Times New Roman"/>
      <w:szCs w:val="20"/>
    </w:rPr>
  </w:style>
  <w:style w:type="character" w:customStyle="1" w:styleId="76">
    <w:name w:val="题注 Char"/>
    <w:qFormat/>
    <w:uiPriority w:val="0"/>
    <w:rPr>
      <w:b/>
      <w:snapToGrid w:val="0"/>
      <w:color w:val="000000"/>
      <w:sz w:val="21"/>
      <w:szCs w:val="24"/>
    </w:rPr>
  </w:style>
  <w:style w:type="paragraph" w:customStyle="1" w:styleId="77">
    <w:name w:val="TOC 标题1"/>
    <w:basedOn w:val="3"/>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78">
    <w:name w:val="普通(网站)1"/>
    <w:basedOn w:val="1"/>
    <w:qFormat/>
    <w:uiPriority w:val="0"/>
    <w:pPr>
      <w:widowControl/>
      <w:spacing w:before="100" w:beforeAutospacing="1" w:after="100" w:afterAutospacing="1" w:line="460" w:lineRule="exact"/>
    </w:pPr>
    <w:rPr>
      <w:rFonts w:ascii="宋体" w:hAnsi="宋体" w:cs="宋体"/>
      <w:kern w:val="0"/>
      <w:sz w:val="24"/>
    </w:rPr>
  </w:style>
  <w:style w:type="paragraph" w:customStyle="1" w:styleId="79">
    <w:name w:val="表内字体"/>
    <w:basedOn w:val="1"/>
    <w:next w:val="1"/>
    <w:qFormat/>
    <w:uiPriority w:val="0"/>
    <w:pPr>
      <w:jc w:val="center"/>
    </w:pPr>
    <w:rPr>
      <w:sz w:val="18"/>
    </w:rPr>
  </w:style>
  <w:style w:type="paragraph" w:customStyle="1" w:styleId="8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81">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82">
    <w:name w:val="Table Text"/>
    <w:basedOn w:val="1"/>
    <w:semiHidden/>
    <w:qFormat/>
    <w:uiPriority w:val="0"/>
    <w:rPr>
      <w:rFonts w:ascii="宋体" w:hAnsi="宋体" w:eastAsia="宋体" w:cs="宋体"/>
      <w:sz w:val="21"/>
      <w:szCs w:val="21"/>
      <w:lang w:val="en-US" w:eastAsia="en-US" w:bidi="ar-SA"/>
    </w:rPr>
  </w:style>
  <w:style w:type="table" w:customStyle="1" w:styleId="83">
    <w:name w:val="Table Normal"/>
    <w:semiHidden/>
    <w:unhideWhenUsed/>
    <w:qFormat/>
    <w:uiPriority w:val="0"/>
    <w:tblPr>
      <w:tblCellMar>
        <w:top w:w="0" w:type="dxa"/>
        <w:left w:w="0" w:type="dxa"/>
        <w:bottom w:w="0" w:type="dxa"/>
        <w:right w:w="0" w:type="dxa"/>
      </w:tblCellMar>
    </w:tblPr>
  </w:style>
  <w:style w:type="paragraph" w:customStyle="1" w:styleId="84">
    <w:name w:val="表格文字"/>
    <w:basedOn w:val="1"/>
    <w:qFormat/>
    <w:uiPriority w:val="0"/>
    <w:pPr>
      <w:spacing w:line="0" w:lineRule="atLeast"/>
      <w:ind w:firstLine="0" w:firstLineChars="0"/>
      <w:jc w:val="center"/>
    </w:pPr>
    <w:rPr>
      <w:sz w:val="21"/>
      <w:szCs w:val="21"/>
    </w:rPr>
  </w:style>
  <w:style w:type="paragraph" w:customStyle="1" w:styleId="85">
    <w:name w:val="A-表格内容"/>
    <w:basedOn w:val="1"/>
    <w:next w:val="1"/>
    <w:qFormat/>
    <w:uiPriority w:val="0"/>
    <w:pPr>
      <w:jc w:val="center"/>
    </w:pPr>
    <w:rPr>
      <w:rFonts w:ascii="Times New Roman" w:hAnsi="Times New Roman" w:eastAsia="宋体"/>
      <w:szCs w:val="21"/>
    </w:rPr>
  </w:style>
  <w:style w:type="paragraph" w:customStyle="1" w:styleId="8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8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emf"/><Relationship Id="rId32" Type="http://schemas.openxmlformats.org/officeDocument/2006/relationships/image" Target="media/image23.png"/><Relationship Id="rId31" Type="http://schemas.openxmlformats.org/officeDocument/2006/relationships/image" Target="media/image2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oleObject" Target="embeddings/oleObject1.bin"/><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121</Pages>
  <Words>408</Words>
  <Characters>446</Characters>
  <Lines>420</Lines>
  <Paragraphs>118</Paragraphs>
  <TotalTime>6</TotalTime>
  <ScaleCrop>false</ScaleCrop>
  <LinksUpToDate>false</LinksUpToDate>
  <CharactersWithSpaces>511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2021-03-11T09:40:00Z</dcterms:created>
  <dc:creator>zyh</dc:creator>
  <cp:lastModifiedBy>徐浪</cp:lastModifiedBy>
  <cp:lastPrinted>2024-12-25T02:49:00Z</cp:lastPrinted>
  <dcterms:modified xsi:type="dcterms:W3CDTF">2025-03-19T03:05:49Z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3A1B4380726F4FC8B4062DE53491916C_13</vt:lpwstr>
  </property>
  <property fmtid="{D5CDD505-2E9C-101B-9397-08002B2CF9AE}" pid="4" name="KSOTemplateDocerSaveRecord">
    <vt:lpwstr>eyJoZGlkIjoiYThmM2M0MzZiZmI0ZjQ3YWFmYWI0ZTFkMGM5ZjEwYjIiLCJ1c2VySWQiOiI3NTQyNzgifQ==</vt:lpwstr>
  </property>
</Properties>
</file>